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F8E0">
      <w:pPr>
        <w:spacing w:line="360" w:lineRule="auto"/>
        <w:jc w:val="both"/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val="en-US" w:eastAsia="zh-CN"/>
        </w:rPr>
        <w:t>附件4：</w:t>
      </w:r>
    </w:p>
    <w:p w14:paraId="3AB0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0"/>
          <w:szCs w:val="21"/>
        </w:rPr>
      </w:pPr>
      <w:bookmarkStart w:id="0" w:name="_GoBack"/>
      <w:r>
        <w:rPr>
          <w:rFonts w:hint="eastAsia" w:ascii="黑体" w:hAnsi="黑体" w:eastAsia="黑体" w:cs="Times New Roman"/>
          <w:b w:val="0"/>
          <w:bCs/>
          <w:kern w:val="0"/>
          <w:sz w:val="36"/>
          <w:szCs w:val="36"/>
        </w:rPr>
        <w:t>《****》</w:t>
      </w:r>
      <w:r>
        <w:rPr>
          <w:rFonts w:hint="eastAsia" w:ascii="黑体" w:hAnsi="黑体" w:eastAsia="黑体" w:cs="Times New Roman"/>
          <w:b w:val="0"/>
          <w:bCs/>
          <w:kern w:val="0"/>
          <w:sz w:val="36"/>
          <w:szCs w:val="36"/>
          <w:lang w:val="en-US" w:eastAsia="zh-CN"/>
        </w:rPr>
        <w:t>课程</w:t>
      </w:r>
      <w:r>
        <w:rPr>
          <w:rFonts w:hint="eastAsia" w:ascii="黑体" w:hAnsi="黑体" w:eastAsia="黑体" w:cs="Times New Roman"/>
          <w:b w:val="0"/>
          <w:bCs/>
          <w:kern w:val="0"/>
          <w:sz w:val="36"/>
          <w:szCs w:val="36"/>
        </w:rPr>
        <w:t>教学大纲</w:t>
      </w:r>
    </w:p>
    <w:bookmarkEnd w:id="0"/>
    <w:p w14:paraId="4CEB22D8">
      <w:pPr>
        <w:keepNext w:val="0"/>
        <w:keepLines w:val="0"/>
        <w:widowControl/>
        <w:suppressLineNumbers w:val="0"/>
        <w:jc w:val="left"/>
        <w:rPr>
          <w:rFonts w:eastAsia="宋体"/>
        </w:rPr>
      </w:pPr>
    </w:p>
    <w:p w14:paraId="7B56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eastAsia="宋体"/>
          <w:bCs/>
          <w:color w:val="auto"/>
          <w:szCs w:val="21"/>
        </w:rPr>
      </w:pPr>
      <w:r>
        <w:rPr>
          <w:rFonts w:hint="eastAsia" w:ascii="Times New Roman" w:hAnsi="Times New Roman" w:eastAsia="黑体"/>
          <w:color w:val="auto"/>
          <w:sz w:val="24"/>
          <w:szCs w:val="24"/>
        </w:rPr>
        <w:t>一、课程</w:t>
      </w:r>
      <w:r>
        <w:rPr>
          <w:rFonts w:hint="eastAsia" w:eastAsia="黑体"/>
          <w:color w:val="auto"/>
          <w:sz w:val="24"/>
          <w:szCs w:val="24"/>
          <w:lang w:val="en-US" w:eastAsia="zh-CN"/>
        </w:rPr>
        <w:t>基本信息</w:t>
      </w:r>
    </w:p>
    <w:tbl>
      <w:tblPr>
        <w:tblStyle w:val="4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071"/>
        <w:gridCol w:w="1575"/>
        <w:gridCol w:w="2721"/>
      </w:tblGrid>
      <w:tr w14:paraId="7900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02" w:type="dxa"/>
            <w:noWrap w:val="0"/>
            <w:vAlign w:val="center"/>
          </w:tcPr>
          <w:p w14:paraId="18A65448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3071" w:type="dxa"/>
            <w:noWrap w:val="0"/>
            <w:vAlign w:val="center"/>
          </w:tcPr>
          <w:p w14:paraId="7C5861ED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5CEB5B4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课程代码</w:t>
            </w:r>
          </w:p>
        </w:tc>
        <w:tc>
          <w:tcPr>
            <w:tcW w:w="2721" w:type="dxa"/>
            <w:noWrap w:val="0"/>
            <w:vAlign w:val="center"/>
          </w:tcPr>
          <w:p w14:paraId="21B8BD87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</w:p>
        </w:tc>
      </w:tr>
      <w:tr w14:paraId="4642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78EC7BDB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课程</w:t>
            </w: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3071" w:type="dxa"/>
            <w:noWrap w:val="0"/>
            <w:vAlign w:val="center"/>
          </w:tcPr>
          <w:p w14:paraId="3EE19FCF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9F59DEE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适用专业</w:t>
            </w:r>
          </w:p>
        </w:tc>
        <w:tc>
          <w:tcPr>
            <w:tcW w:w="2721" w:type="dxa"/>
            <w:noWrap w:val="0"/>
            <w:vAlign w:val="center"/>
          </w:tcPr>
          <w:p w14:paraId="648262E4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全称）</w:t>
            </w:r>
          </w:p>
        </w:tc>
      </w:tr>
      <w:tr w14:paraId="563C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189FB670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计划学时</w:t>
            </w:r>
          </w:p>
        </w:tc>
        <w:tc>
          <w:tcPr>
            <w:tcW w:w="3071" w:type="dxa"/>
            <w:noWrap w:val="0"/>
            <w:vAlign w:val="center"/>
          </w:tcPr>
          <w:p w14:paraId="606FD77D">
            <w:pPr>
              <w:spacing w:line="360" w:lineRule="auto"/>
              <w:jc w:val="center"/>
              <w:rPr>
                <w:rFonts w:ascii="Times New Roman" w:hAnsi="Times New Roman" w:eastAsia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</w:rPr>
              <w:t>学时（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其中</w:t>
            </w:r>
            <w:r>
              <w:rPr>
                <w:rFonts w:hint="eastAsia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实验/上机**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</w:rPr>
              <w:t>学时）</w:t>
            </w:r>
          </w:p>
        </w:tc>
        <w:tc>
          <w:tcPr>
            <w:tcW w:w="1575" w:type="dxa"/>
            <w:noWrap w:val="0"/>
            <w:vAlign w:val="center"/>
          </w:tcPr>
          <w:p w14:paraId="16C42EC5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课外学时建议</w:t>
            </w:r>
          </w:p>
        </w:tc>
        <w:tc>
          <w:tcPr>
            <w:tcW w:w="2721" w:type="dxa"/>
            <w:noWrap w:val="0"/>
            <w:vAlign w:val="center"/>
          </w:tcPr>
          <w:p w14:paraId="2D9FAC89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</w:p>
        </w:tc>
      </w:tr>
      <w:tr w14:paraId="20B7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09AC7F9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学    分</w:t>
            </w:r>
          </w:p>
        </w:tc>
        <w:tc>
          <w:tcPr>
            <w:tcW w:w="3071" w:type="dxa"/>
            <w:noWrap w:val="0"/>
            <w:vAlign w:val="center"/>
          </w:tcPr>
          <w:p w14:paraId="0FBDAA0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**（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</w:rPr>
              <w:t>阿拉伯数字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12C361E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开课学期</w:t>
            </w:r>
          </w:p>
        </w:tc>
        <w:tc>
          <w:tcPr>
            <w:tcW w:w="2721" w:type="dxa"/>
            <w:noWrap w:val="0"/>
            <w:vAlign w:val="center"/>
          </w:tcPr>
          <w:p w14:paraId="0B5F5A7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**（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</w:rPr>
              <w:t>阿拉伯数字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</w:tr>
      <w:tr w14:paraId="6DE5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008F0E1D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前导课程</w:t>
            </w:r>
          </w:p>
        </w:tc>
        <w:tc>
          <w:tcPr>
            <w:tcW w:w="7367" w:type="dxa"/>
            <w:gridSpan w:val="3"/>
            <w:noWrap w:val="0"/>
            <w:vAlign w:val="top"/>
          </w:tcPr>
          <w:p w14:paraId="5F657A5D">
            <w:pPr>
              <w:spacing w:line="360" w:lineRule="auto"/>
              <w:jc w:val="left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</w:t>
            </w:r>
          </w:p>
        </w:tc>
      </w:tr>
      <w:tr w14:paraId="3A23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70B5E5FE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后续课程</w:t>
            </w:r>
          </w:p>
        </w:tc>
        <w:tc>
          <w:tcPr>
            <w:tcW w:w="7367" w:type="dxa"/>
            <w:gridSpan w:val="3"/>
            <w:noWrap w:val="0"/>
            <w:vAlign w:val="top"/>
          </w:tcPr>
          <w:p w14:paraId="0359CB58">
            <w:pPr>
              <w:spacing w:line="360" w:lineRule="auto"/>
              <w:jc w:val="left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</w:t>
            </w:r>
          </w:p>
        </w:tc>
      </w:tr>
      <w:tr w14:paraId="48E7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5CF16FA7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开课单位</w:t>
            </w:r>
          </w:p>
        </w:tc>
        <w:tc>
          <w:tcPr>
            <w:tcW w:w="7367" w:type="dxa"/>
            <w:gridSpan w:val="3"/>
            <w:noWrap w:val="0"/>
            <w:vAlign w:val="top"/>
          </w:tcPr>
          <w:p w14:paraId="2E58659A">
            <w:pPr>
              <w:spacing w:line="360" w:lineRule="auto"/>
              <w:jc w:val="left"/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******学院/部（单位全称）</w:t>
            </w:r>
          </w:p>
        </w:tc>
      </w:tr>
    </w:tbl>
    <w:p w14:paraId="08E351AF">
      <w:pPr>
        <w:adjustRightInd w:val="0"/>
        <w:snapToGrid w:val="0"/>
        <w:rPr>
          <w:rFonts w:hint="eastAsia" w:ascii="黑体" w:eastAsia="黑体"/>
          <w:color w:val="auto"/>
          <w:sz w:val="24"/>
        </w:rPr>
      </w:pPr>
    </w:p>
    <w:p w14:paraId="2AEA2B10">
      <w:pPr>
        <w:spacing w:line="360" w:lineRule="auto"/>
        <w:ind w:firstLine="480" w:firstLineChars="200"/>
        <w:rPr>
          <w:rFonts w:ascii="宋体" w:hAnsi="宋体" w:eastAsia="宋体"/>
          <w:i/>
          <w:color w:val="auto"/>
          <w:sz w:val="24"/>
          <w:highlight w:val="yellow"/>
        </w:rPr>
      </w:pPr>
      <w:r>
        <w:rPr>
          <w:rFonts w:hint="eastAsia" w:ascii="黑体" w:eastAsia="黑体"/>
          <w:color w:val="auto"/>
          <w:sz w:val="24"/>
        </w:rPr>
        <w:t>二、课程简介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【综合性概述课程性质，开设目的和意义，在人才培养过程中的地位、作用以及课程基本内容等，字数300字左右】</w:t>
      </w:r>
    </w:p>
    <w:p w14:paraId="3A1ADC7C">
      <w:pPr>
        <w:spacing w:line="400" w:lineRule="exact"/>
        <w:ind w:firstLine="420" w:firstLineChars="200"/>
        <w:rPr>
          <w:rFonts w:ascii="黑体" w:eastAsia="黑体"/>
          <w:i/>
          <w:iCs/>
          <w:color w:val="000000"/>
          <w:sz w:val="24"/>
        </w:rPr>
      </w:pPr>
      <w:r>
        <w:rPr>
          <w:rFonts w:hint="eastAsia" w:eastAsia="宋体"/>
          <w:i/>
          <w:iCs/>
          <w:color w:val="000000"/>
          <w:szCs w:val="21"/>
        </w:rPr>
        <w:t>示例：</w:t>
      </w:r>
    </w:p>
    <w:p w14:paraId="49F60CE2">
      <w:pPr>
        <w:spacing w:line="400" w:lineRule="exact"/>
        <w:ind w:firstLine="422" w:firstLineChars="200"/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b/>
          <w:bCs/>
          <w:color w:val="000000"/>
          <w:kern w:val="0"/>
          <w:szCs w:val="21"/>
          <w:lang w:eastAsia="zh-CN"/>
        </w:rPr>
        <w:t>《</w:t>
      </w:r>
      <w:r>
        <w:rPr>
          <w:rFonts w:hint="eastAsia" w:eastAsia="宋体"/>
          <w:b/>
          <w:bCs/>
          <w:color w:val="000000"/>
          <w:kern w:val="0"/>
          <w:szCs w:val="21"/>
          <w:lang w:val="en-US" w:eastAsia="zh-CN"/>
        </w:rPr>
        <w:t>****</w:t>
      </w:r>
      <w:r>
        <w:rPr>
          <w:rFonts w:hint="eastAsia" w:eastAsia="宋体"/>
          <w:b/>
          <w:bCs/>
          <w:color w:val="000000"/>
          <w:kern w:val="0"/>
          <w:szCs w:val="21"/>
          <w:lang w:eastAsia="zh-CN"/>
        </w:rPr>
        <w:t>》</w:t>
      </w:r>
      <w:r>
        <w:rPr>
          <w:rFonts w:hint="eastAsia" w:eastAsia="宋体"/>
          <w:b/>
          <w:bCs/>
          <w:color w:val="000000"/>
          <w:kern w:val="0"/>
          <w:szCs w:val="21"/>
        </w:rPr>
        <w:t>是</w:t>
      </w:r>
      <w:r>
        <w:rPr>
          <w:rFonts w:hint="eastAsia" w:eastAsia="宋体"/>
          <w:color w:val="auto"/>
          <w:kern w:val="0"/>
          <w:szCs w:val="21"/>
          <w:lang w:val="en-US" w:eastAsia="zh-CN"/>
        </w:rPr>
        <w:t>****</w:t>
      </w:r>
      <w:r>
        <w:rPr>
          <w:rFonts w:hint="eastAsia" w:eastAsia="宋体"/>
          <w:b/>
          <w:bCs/>
          <w:color w:val="auto"/>
          <w:kern w:val="0"/>
          <w:szCs w:val="21"/>
        </w:rPr>
        <w:t>专业的一门</w:t>
      </w:r>
      <w:r>
        <w:rPr>
          <w:rFonts w:hint="eastAsia" w:eastAsia="宋体"/>
          <w:b w:val="0"/>
          <w:bCs w:val="0"/>
          <w:color w:val="auto"/>
          <w:kern w:val="0"/>
          <w:szCs w:val="21"/>
        </w:rPr>
        <w:t>重要</w:t>
      </w:r>
      <w:r>
        <w:rPr>
          <w:rFonts w:hint="eastAsia" w:eastAsia="宋体"/>
          <w:b/>
          <w:bCs/>
          <w:color w:val="auto"/>
          <w:kern w:val="0"/>
          <w:szCs w:val="21"/>
        </w:rPr>
        <w:t>的</w:t>
      </w:r>
      <w:r>
        <w:rPr>
          <w:rFonts w:hint="eastAsia" w:eastAsia="宋体"/>
          <w:b/>
          <w:bCs/>
          <w:color w:val="auto"/>
          <w:kern w:val="0"/>
          <w:szCs w:val="21"/>
          <w:lang w:val="en-US" w:eastAsia="zh-CN"/>
        </w:rPr>
        <w:t>***</w:t>
      </w:r>
      <w:r>
        <w:rPr>
          <w:rFonts w:hint="eastAsia" w:eastAsia="宋体"/>
          <w:b/>
          <w:bCs/>
          <w:color w:val="auto"/>
          <w:kern w:val="0"/>
          <w:szCs w:val="21"/>
        </w:rPr>
        <w:t>课</w:t>
      </w:r>
      <w:r>
        <w:rPr>
          <w:rFonts w:hint="eastAsia" w:eastAsia="宋体"/>
          <w:color w:val="000000"/>
          <w:kern w:val="0"/>
          <w:szCs w:val="21"/>
        </w:rPr>
        <w:t>，课程理论与实践并重，应用范围广，尤其在当前大数据与人工智能时代下，</w:t>
      </w:r>
      <w:r>
        <w:rPr>
          <w:rFonts w:hint="eastAsia" w:eastAsia="宋体"/>
          <w:color w:val="000000"/>
          <w:kern w:val="0"/>
          <w:szCs w:val="21"/>
          <w:lang w:eastAsia="zh-CN"/>
        </w:rPr>
        <w:t>《</w:t>
      </w:r>
      <w:r>
        <w:rPr>
          <w:rFonts w:hint="eastAsia" w:eastAsia="宋体"/>
          <w:color w:val="000000"/>
          <w:kern w:val="0"/>
          <w:szCs w:val="21"/>
          <w:lang w:val="en-US" w:eastAsia="zh-CN"/>
        </w:rPr>
        <w:t>****</w:t>
      </w:r>
      <w:r>
        <w:rPr>
          <w:rFonts w:hint="eastAsia" w:eastAsia="宋体"/>
          <w:color w:val="000000"/>
          <w:kern w:val="0"/>
          <w:szCs w:val="21"/>
          <w:lang w:eastAsia="zh-CN"/>
        </w:rPr>
        <w:t>》</w:t>
      </w:r>
      <w:r>
        <w:rPr>
          <w:rFonts w:hint="eastAsia" w:eastAsia="宋体"/>
          <w:color w:val="000000"/>
          <w:kern w:val="0"/>
          <w:szCs w:val="21"/>
        </w:rPr>
        <w:t>在计算机科学领域中的重要性更是凸显。</w:t>
      </w:r>
      <w:r>
        <w:rPr>
          <w:rFonts w:hint="eastAsia" w:eastAsia="宋体"/>
          <w:b/>
          <w:bCs/>
          <w:color w:val="000000"/>
          <w:kern w:val="0"/>
          <w:szCs w:val="21"/>
        </w:rPr>
        <w:t>课程系统介绍</w:t>
      </w:r>
      <w:r>
        <w:rPr>
          <w:rFonts w:hint="eastAsia" w:eastAsia="宋体"/>
          <w:color w:val="000000"/>
          <w:kern w:val="0"/>
          <w:szCs w:val="21"/>
        </w:rPr>
        <w:t>算法效率分析基础以及常用的算法设计思想与方法，</w:t>
      </w:r>
      <w:r>
        <w:rPr>
          <w:rFonts w:hint="eastAsia" w:eastAsia="宋体"/>
          <w:b/>
          <w:bCs/>
          <w:color w:val="000000"/>
          <w:kern w:val="0"/>
          <w:szCs w:val="21"/>
        </w:rPr>
        <w:t>包括</w:t>
      </w:r>
      <w:r>
        <w:rPr>
          <w:rFonts w:eastAsia="宋体"/>
          <w:color w:val="000000"/>
          <w:kern w:val="0"/>
          <w:szCs w:val="21"/>
        </w:rPr>
        <w:t>分治</w:t>
      </w:r>
      <w:r>
        <w:rPr>
          <w:rFonts w:hint="eastAsia" w:eastAsia="宋体"/>
          <w:color w:val="000000"/>
          <w:kern w:val="0"/>
          <w:szCs w:val="21"/>
        </w:rPr>
        <w:t>法</w:t>
      </w:r>
      <w:r>
        <w:rPr>
          <w:rFonts w:eastAsia="宋体"/>
          <w:color w:val="000000"/>
          <w:kern w:val="0"/>
          <w:szCs w:val="21"/>
        </w:rPr>
        <w:t>、动态规划</w:t>
      </w:r>
      <w:r>
        <w:rPr>
          <w:rFonts w:hint="eastAsia" w:eastAsia="宋体"/>
          <w:color w:val="000000"/>
          <w:kern w:val="0"/>
          <w:szCs w:val="21"/>
        </w:rPr>
        <w:t>法</w:t>
      </w:r>
      <w:r>
        <w:rPr>
          <w:rFonts w:eastAsia="宋体"/>
          <w:color w:val="000000"/>
          <w:kern w:val="0"/>
          <w:szCs w:val="21"/>
        </w:rPr>
        <w:t>、贪心</w:t>
      </w:r>
      <w:r>
        <w:rPr>
          <w:rFonts w:hint="eastAsia" w:eastAsia="宋体"/>
          <w:color w:val="000000"/>
          <w:kern w:val="0"/>
          <w:szCs w:val="21"/>
        </w:rPr>
        <w:t>法</w:t>
      </w:r>
      <w:r>
        <w:rPr>
          <w:rFonts w:eastAsia="宋体"/>
          <w:color w:val="000000"/>
          <w:kern w:val="0"/>
          <w:szCs w:val="21"/>
        </w:rPr>
        <w:t>、回溯</w:t>
      </w:r>
      <w:r>
        <w:rPr>
          <w:rFonts w:hint="eastAsia" w:eastAsia="宋体"/>
          <w:color w:val="000000"/>
          <w:kern w:val="0"/>
          <w:szCs w:val="21"/>
        </w:rPr>
        <w:t>法、分支</w:t>
      </w:r>
      <w:r>
        <w:rPr>
          <w:rFonts w:eastAsia="宋体"/>
          <w:color w:val="000000"/>
          <w:kern w:val="0"/>
          <w:szCs w:val="21"/>
        </w:rPr>
        <w:t>限界</w:t>
      </w:r>
      <w:r>
        <w:rPr>
          <w:rFonts w:hint="eastAsia" w:eastAsia="宋体"/>
          <w:color w:val="000000"/>
          <w:kern w:val="0"/>
          <w:szCs w:val="21"/>
        </w:rPr>
        <w:t>法、随机化和遗传算法等，</w:t>
      </w:r>
      <w:r>
        <w:rPr>
          <w:rFonts w:hint="eastAsia" w:eastAsia="宋体"/>
          <w:b/>
          <w:bCs/>
          <w:color w:val="000000"/>
          <w:kern w:val="0"/>
          <w:szCs w:val="21"/>
        </w:rPr>
        <w:t>并</w:t>
      </w:r>
      <w:r>
        <w:rPr>
          <w:rFonts w:hint="eastAsia" w:eastAsia="宋体"/>
          <w:color w:val="000000"/>
          <w:kern w:val="0"/>
          <w:szCs w:val="21"/>
        </w:rPr>
        <w:t>结合实际案例加深算法思想理解和设计方法的探讨</w:t>
      </w:r>
      <w:r>
        <w:rPr>
          <w:rFonts w:eastAsia="宋体"/>
          <w:color w:val="000000"/>
          <w:kern w:val="0"/>
          <w:szCs w:val="21"/>
        </w:rPr>
        <w:t>。</w:t>
      </w:r>
      <w:r>
        <w:rPr>
          <w:rFonts w:eastAsia="宋体"/>
          <w:b/>
          <w:bCs/>
          <w:color w:val="000000"/>
          <w:kern w:val="0"/>
          <w:szCs w:val="21"/>
        </w:rPr>
        <w:t>通过本课程的学习，使学生</w:t>
      </w:r>
      <w:r>
        <w:rPr>
          <w:rFonts w:eastAsia="宋体"/>
          <w:color w:val="000000"/>
          <w:kern w:val="0"/>
          <w:szCs w:val="21"/>
        </w:rPr>
        <w:t>熟练掌握</w:t>
      </w:r>
      <w:r>
        <w:rPr>
          <w:rFonts w:hint="eastAsia" w:eastAsia="宋体"/>
          <w:color w:val="000000"/>
          <w:kern w:val="0"/>
          <w:szCs w:val="21"/>
        </w:rPr>
        <w:t>算法复杂性分析基本方法，</w:t>
      </w:r>
      <w:r>
        <w:rPr>
          <w:rFonts w:eastAsia="宋体"/>
          <w:color w:val="000000"/>
          <w:kern w:val="0"/>
          <w:szCs w:val="21"/>
        </w:rPr>
        <w:t>算法设计的基本理论、方法和技术，训练计算</w:t>
      </w:r>
      <w:r>
        <w:rPr>
          <w:rFonts w:hint="eastAsia" w:eastAsia="宋体"/>
          <w:color w:val="000000"/>
          <w:kern w:val="0"/>
          <w:szCs w:val="21"/>
        </w:rPr>
        <w:t>和逻辑</w:t>
      </w:r>
      <w:r>
        <w:rPr>
          <w:rFonts w:eastAsia="宋体"/>
          <w:color w:val="000000"/>
          <w:kern w:val="0"/>
          <w:szCs w:val="21"/>
        </w:rPr>
        <w:t>思维，锻炼学生分析问题和解决问题的能力，</w:t>
      </w:r>
      <w:r>
        <w:rPr>
          <w:rFonts w:eastAsia="宋体"/>
          <w:b/>
          <w:bCs/>
          <w:color w:val="000000"/>
          <w:kern w:val="0"/>
          <w:szCs w:val="21"/>
        </w:rPr>
        <w:t>为</w:t>
      </w:r>
      <w:r>
        <w:rPr>
          <w:rFonts w:eastAsia="宋体"/>
          <w:color w:val="000000"/>
          <w:kern w:val="0"/>
          <w:szCs w:val="21"/>
        </w:rPr>
        <w:t>开发高效的</w:t>
      </w:r>
      <w:r>
        <w:rPr>
          <w:rFonts w:hint="eastAsia" w:eastAsia="宋体"/>
          <w:color w:val="000000"/>
          <w:kern w:val="0"/>
          <w:szCs w:val="21"/>
        </w:rPr>
        <w:t>计算</w:t>
      </w:r>
      <w:r>
        <w:rPr>
          <w:rFonts w:eastAsia="宋体"/>
          <w:color w:val="000000"/>
          <w:kern w:val="0"/>
          <w:szCs w:val="21"/>
        </w:rPr>
        <w:t>系统及相关领域的研究工作</w:t>
      </w:r>
      <w:r>
        <w:rPr>
          <w:rFonts w:eastAsia="宋体"/>
          <w:b/>
          <w:bCs/>
          <w:color w:val="000000"/>
          <w:kern w:val="0"/>
          <w:szCs w:val="21"/>
        </w:rPr>
        <w:t>奠定坚实的基础</w:t>
      </w:r>
      <w:r>
        <w:rPr>
          <w:rFonts w:eastAsia="宋体"/>
          <w:color w:val="000000"/>
          <w:kern w:val="0"/>
          <w:szCs w:val="21"/>
        </w:rPr>
        <w:t>。</w:t>
      </w:r>
    </w:p>
    <w:p w14:paraId="648C71BC">
      <w:pPr>
        <w:spacing w:line="360" w:lineRule="auto"/>
        <w:ind w:firstLine="480" w:firstLineChars="200"/>
        <w:rPr>
          <w:rFonts w:hint="eastAsia" w:ascii="黑体" w:hAnsi="Times New Roman" w:eastAsia="黑体" w:cs="Times New Roman"/>
          <w:color w:val="auto"/>
          <w:sz w:val="24"/>
        </w:rPr>
      </w:pPr>
    </w:p>
    <w:p w14:paraId="51430CAF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eastAsia" w:ascii="黑体" w:hAnsi="Times New Roman" w:eastAsia="黑体" w:cs="Times New Roman"/>
          <w:color w:val="auto"/>
          <w:sz w:val="24"/>
        </w:rPr>
        <w:t>三、课程目标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 xml:space="preserve"> 【课程目标应</w:t>
      </w:r>
      <w:r>
        <w:rPr>
          <w:rFonts w:hint="eastAsia" w:eastAsia="宋体" w:cs="Times New Roman"/>
          <w:bCs/>
          <w:color w:val="auto"/>
          <w:szCs w:val="21"/>
          <w:lang w:val="en-US" w:eastAsia="zh-CN"/>
        </w:rPr>
        <w:t>从课程思政、知识、能力、素养几方面展开，要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充分考虑对毕业要求的支撑，需覆盖但不局限于毕业要求对应的观测点。课程目标的内涵表述应体现学生的学习成果，要使用具体的、有强烈动作意味的</w:t>
      </w:r>
      <w:r>
        <w:rPr>
          <w:rFonts w:hint="eastAsia" w:eastAsia="宋体" w:cs="Times New Roman"/>
          <w:bCs/>
          <w:color w:val="auto"/>
          <w:szCs w:val="21"/>
          <w:lang w:val="en-US" w:eastAsia="zh-CN"/>
        </w:rPr>
        <w:t>布鲁姆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动词（如分析、设计、建模等）分条准确表述学生通过课程学习所获得的能力而非教学要求，要力求清晰、明确、可评价；课程目标不宜过多，尽量控制在5个以内</w:t>
      </w:r>
      <w:r>
        <w:rPr>
          <w:rFonts w:hint="eastAsia" w:eastAsia="宋体" w:cs="Times New Roman"/>
          <w:bCs/>
          <w:color w:val="auto"/>
          <w:szCs w:val="21"/>
          <w:lang w:val="en-US" w:eastAsia="zh-CN"/>
        </w:rPr>
        <w:t>，课程目标1统一为课程思政目标（思政类课程除外），需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覆盖该课程支撑的专业思政指标点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】</w:t>
      </w:r>
    </w:p>
    <w:p w14:paraId="1392F49F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auto"/>
          <w:kern w:val="0"/>
          <w:szCs w:val="21"/>
        </w:rPr>
      </w:pP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课程目标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（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  <w:t>课程思政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目标）：……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eastAsia="zh-CN"/>
        </w:rPr>
        <w:t>。</w:t>
      </w:r>
    </w:p>
    <w:p w14:paraId="230B1684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auto"/>
          <w:kern w:val="0"/>
          <w:szCs w:val="21"/>
          <w:lang w:eastAsia="zh-CN"/>
        </w:rPr>
      </w:pP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课程目标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：……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eastAsia="zh-CN"/>
        </w:rPr>
        <w:t>。</w:t>
      </w:r>
    </w:p>
    <w:p w14:paraId="5C2D255E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课程目标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：……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407D11D6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课程目标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：……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6A64891F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……</w:t>
      </w:r>
    </w:p>
    <w:p w14:paraId="04B8F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黑体" w:hAnsi="Times New Roman" w:eastAsia="黑体" w:cs="Times New Roman"/>
          <w:color w:val="auto"/>
          <w:sz w:val="24"/>
          <w:lang w:val="en-US" w:eastAsia="zh-CN"/>
        </w:rPr>
      </w:pPr>
    </w:p>
    <w:p w14:paraId="1612E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</w:pPr>
      <w:r>
        <w:rPr>
          <w:rFonts w:hint="eastAsia" w:ascii="黑体" w:eastAsia="黑体" w:cs="Times New Roman"/>
          <w:color w:val="auto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、课程思政</w:t>
      </w:r>
      <w:r>
        <w:rPr>
          <w:rFonts w:hint="eastAsia" w:ascii="黑体" w:eastAsia="黑体" w:cs="Times New Roman"/>
          <w:color w:val="auto"/>
          <w:kern w:val="2"/>
          <w:sz w:val="24"/>
          <w:szCs w:val="24"/>
          <w:lang w:val="en-US" w:eastAsia="zh-CN" w:bidi="ar-SA"/>
        </w:rPr>
        <w:t>元素</w:t>
      </w: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与实现途径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课程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思政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元素至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少写3条，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需有效支撑课程思政目标，思政类课程无需填写此表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】</w:t>
      </w:r>
    </w:p>
    <w:tbl>
      <w:tblPr>
        <w:tblStyle w:val="4"/>
        <w:tblpPr w:leftFromText="180" w:rightFromText="180" w:vertAnchor="text" w:horzAnchor="page" w:tblpXSpec="center" w:tblpY="215"/>
        <w:tblOverlap w:val="never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1"/>
        <w:gridCol w:w="4455"/>
        <w:gridCol w:w="1526"/>
        <w:gridCol w:w="1811"/>
      </w:tblGrid>
      <w:tr w14:paraId="19A6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1" w:hRule="atLeast"/>
          <w:tblHeader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23AECAD3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4CAAD19F">
            <w:pPr>
              <w:snapToGrid w:val="0"/>
              <w:jc w:val="center"/>
              <w:rPr>
                <w:rFonts w:hint="default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课程思政元素</w:t>
            </w: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2D2B8220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 w:val="18"/>
                <w:szCs w:val="18"/>
                <w:lang w:val="en-US" w:eastAsia="zh-CN"/>
              </w:rPr>
              <w:t>融入点</w:t>
            </w: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0136A3ED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实现途径</w:t>
            </w:r>
          </w:p>
        </w:tc>
      </w:tr>
      <w:tr w14:paraId="3A04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4E76BD2C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34C3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算法的时间和空间复杂度，一个“好”算法，大局意识，统筹兼顾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02D3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算法概念和时间复杂度</w:t>
            </w: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503D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案例教学、情景教学、翻转课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堂</w:t>
            </w:r>
          </w:p>
        </w:tc>
      </w:tr>
      <w:tr w14:paraId="39E1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04D48DBE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532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通过举例分析，让同学们了解不同的大规模问题，当规模足够小时，都可以轻松解决，让学生明白分治法的适用之处。例如，对1000W个数字排序很困难，但对2个数字进行排序却可以轻而易举解决。</w:t>
            </w: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3FAC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分治法</w:t>
            </w: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093D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社会真实事件教学、情景教学</w:t>
            </w:r>
          </w:p>
        </w:tc>
      </w:tr>
      <w:tr w14:paraId="63AE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2B7924B3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2BD74C03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12839068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48363235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5E75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6A238AFA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3283E272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148E5B61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48FEEFA5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2B28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61B769B1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671FD1F5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51024F8D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321A3E14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</w:tr>
    </w:tbl>
    <w:p w14:paraId="2BC7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120" w:line="224" w:lineRule="auto"/>
        <w:ind w:left="0" w:firstLine="480" w:firstLineChars="200"/>
        <w:jc w:val="both"/>
        <w:textAlignment w:val="auto"/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</w:p>
    <w:p w14:paraId="6FAE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120" w:line="224" w:lineRule="auto"/>
        <w:ind w:left="0" w:firstLine="480" w:firstLineChars="200"/>
        <w:jc w:val="both"/>
        <w:textAlignment w:val="auto"/>
        <w:rPr>
          <w:rFonts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五</w:t>
      </w:r>
      <w:r>
        <w:rPr>
          <w:rFonts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、课程教学重点</w:t>
      </w:r>
      <w:r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与</w:t>
      </w:r>
      <w:r>
        <w:rPr>
          <w:rFonts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难点</w:t>
      </w:r>
    </w:p>
    <w:p w14:paraId="58AAFBCF">
      <w:pPr>
        <w:autoSpaceDE w:val="0"/>
        <w:autoSpaceDN w:val="0"/>
        <w:adjustRightInd w:val="0"/>
        <w:spacing w:line="360" w:lineRule="auto"/>
        <w:ind w:firstLine="422" w:firstLineChars="200"/>
        <w:jc w:val="left"/>
        <w:rPr>
          <w:rFonts w:hint="eastAsia" w:ascii="宋体" w:hAnsi="Times New Roman" w:eastAsia="宋体" w:cs="宋体"/>
          <w:b/>
          <w:bCs w:val="0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0"/>
          <w:szCs w:val="21"/>
        </w:rPr>
        <w:t>（一）教学重点</w:t>
      </w:r>
    </w:p>
    <w:p w14:paraId="7832E68B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</w:rPr>
      </w:pP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</w:rPr>
        <w:t>……。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【如内容需分条，按1. 2. 3.……依次列出】</w:t>
      </w:r>
    </w:p>
    <w:p w14:paraId="56C72575">
      <w:pPr>
        <w:autoSpaceDE w:val="0"/>
        <w:autoSpaceDN w:val="0"/>
        <w:adjustRightInd w:val="0"/>
        <w:spacing w:line="360" w:lineRule="auto"/>
        <w:ind w:firstLine="422" w:firstLineChars="200"/>
        <w:jc w:val="left"/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</w:pPr>
      <w:r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  <w:t>（二）教学难点</w:t>
      </w:r>
    </w:p>
    <w:p w14:paraId="787E9B77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</w:rPr>
      </w:pP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</w:rPr>
        <w:t>……。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【如内容需分条，按1. 2. 3.……依次列出】</w:t>
      </w:r>
    </w:p>
    <w:p w14:paraId="4150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b/>
          <w:color w:val="auto"/>
        </w:rPr>
      </w:pPr>
      <w:r>
        <w:rPr>
          <w:rFonts w:hint="eastAsia" w:ascii="黑体" w:eastAsia="黑体" w:cs="Times New Roman"/>
          <w:color w:val="auto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、教学内容与成果目标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教学内容应按学生应掌握的内容编写，不要局限于教材，不能简单写成教材的目录；学生学习预期成果应根据课程目标确定学生应达到的知识、能力和情感价值的提升；对于混合式课程应同时注明教学内容实施为线上或线下；教学方法包括讲授、讨论或座谈、案例法、问题导向学习（PBL）、分组合作学习、专题学习等；表格内容如需分条，按1. 2. 3.……依次列出】</w:t>
      </w:r>
    </w:p>
    <w:tbl>
      <w:tblPr>
        <w:tblStyle w:val="4"/>
        <w:tblpPr w:leftFromText="180" w:rightFromText="180" w:vertAnchor="text" w:horzAnchor="page" w:tblpXSpec="center" w:tblpY="495"/>
        <w:tblOverlap w:val="never"/>
        <w:tblW w:w="8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7"/>
        <w:gridCol w:w="2055"/>
        <w:gridCol w:w="2830"/>
        <w:gridCol w:w="600"/>
        <w:gridCol w:w="540"/>
        <w:gridCol w:w="800"/>
        <w:gridCol w:w="1050"/>
      </w:tblGrid>
      <w:tr w14:paraId="0357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7" w:hRule="atLeast"/>
          <w:tblHeader/>
          <w:jc w:val="center"/>
        </w:trPr>
        <w:tc>
          <w:tcPr>
            <w:tcW w:w="577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D0753C5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5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3313F20B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教学内容</w:t>
            </w:r>
          </w:p>
        </w:tc>
        <w:tc>
          <w:tcPr>
            <w:tcW w:w="283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489CA4E3">
            <w:pPr>
              <w:snapToGrid w:val="0"/>
              <w:jc w:val="center"/>
              <w:rPr>
                <w:rFonts w:hint="default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学生学习预期成果</w:t>
            </w:r>
          </w:p>
        </w:tc>
        <w:tc>
          <w:tcPr>
            <w:tcW w:w="114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D6A3DCE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学时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分配</w:t>
            </w:r>
          </w:p>
        </w:tc>
        <w:tc>
          <w:tcPr>
            <w:tcW w:w="80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3A040C3E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教学</w:t>
            </w:r>
          </w:p>
          <w:p w14:paraId="23B3F16C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法</w:t>
            </w:r>
          </w:p>
        </w:tc>
        <w:tc>
          <w:tcPr>
            <w:tcW w:w="105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49ECF09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对应</w:t>
            </w:r>
          </w:p>
          <w:p w14:paraId="2268BA6D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课程目标</w:t>
            </w:r>
          </w:p>
        </w:tc>
      </w:tr>
      <w:tr w14:paraId="0C4E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" w:hRule="atLeast"/>
          <w:tblHeader/>
          <w:jc w:val="center"/>
        </w:trPr>
        <w:tc>
          <w:tcPr>
            <w:tcW w:w="577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565D8ECA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0D6D22E6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83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5C1E773C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4142B41">
            <w:pPr>
              <w:snapToGrid w:val="0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课内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168FF9A2">
            <w:pPr>
              <w:snapToGrid w:val="0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课外</w:t>
            </w:r>
          </w:p>
        </w:tc>
        <w:tc>
          <w:tcPr>
            <w:tcW w:w="80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4598C42C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3EB9C3B7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14:paraId="3CA8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74160562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2D3D998D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45303564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学生在学完本节内容后应获得的知识、能力或素养水平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可以用掌握、认知、理解、应用、分析、综合、判断等描述预期成果达到的程度。</w:t>
            </w: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1D34D11E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3F69277C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1190255D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讲授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6B00182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目标1</w:t>
            </w:r>
          </w:p>
        </w:tc>
      </w:tr>
      <w:tr w14:paraId="469F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15981F6F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3C2EC87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5B380295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20F35CCD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266A44D9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36DD217E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案例法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536FA820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</w:tr>
      <w:tr w14:paraId="3CB9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449AC781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66F060B5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1558715B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283CAD2C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1A0AA20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3AA047C6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讲授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40097873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</w:p>
        </w:tc>
      </w:tr>
      <w:tr w14:paraId="18A4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509D3A55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09A431AE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3324792B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1AEBCDD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225E999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09FC78B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演示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58A797B7"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</w:p>
        </w:tc>
      </w:tr>
      <w:tr w14:paraId="5E4D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3EBF3F6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1C78CA2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*</w:t>
            </w: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3322A633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6D8103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2F59FFE1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4AE49D32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31F1681F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……</w:t>
            </w:r>
          </w:p>
        </w:tc>
      </w:tr>
      <w:tr w14:paraId="5513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46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FD2DB97">
            <w:pPr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</w:rPr>
              <w:t xml:space="preserve">合 </w:t>
            </w: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</w:rPr>
              <w:t>计</w:t>
            </w: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72F529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331B10E6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467A30E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2A735D5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</w:tr>
    </w:tbl>
    <w:p w14:paraId="140BD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both"/>
        <w:textAlignment w:val="auto"/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</w:p>
    <w:p w14:paraId="4D000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七、实践内容与成果目标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【含课内实践的课程填写，类型包括演示性、验证性、综合性、设计性、创新性、其他等】</w:t>
      </w:r>
    </w:p>
    <w:tbl>
      <w:tblPr>
        <w:tblStyle w:val="4"/>
        <w:tblpPr w:leftFromText="180" w:rightFromText="180" w:vertAnchor="text" w:horzAnchor="page" w:tblpXSpec="center" w:tblpY="495"/>
        <w:tblOverlap w:val="never"/>
        <w:tblW w:w="8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7"/>
        <w:gridCol w:w="2055"/>
        <w:gridCol w:w="2830"/>
        <w:gridCol w:w="600"/>
        <w:gridCol w:w="540"/>
        <w:gridCol w:w="800"/>
        <w:gridCol w:w="1050"/>
      </w:tblGrid>
      <w:tr w14:paraId="2BEF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4" w:hRule="atLeast"/>
          <w:tblHeader/>
          <w:jc w:val="center"/>
        </w:trPr>
        <w:tc>
          <w:tcPr>
            <w:tcW w:w="577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0885F77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5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251C2447">
            <w:pPr>
              <w:snapToGrid w:val="0"/>
              <w:jc w:val="center"/>
              <w:rPr>
                <w:rFonts w:hint="default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实践项目名称</w:t>
            </w:r>
          </w:p>
        </w:tc>
        <w:tc>
          <w:tcPr>
            <w:tcW w:w="283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9755F2D">
            <w:pPr>
              <w:snapToGrid w:val="0"/>
              <w:jc w:val="center"/>
              <w:rPr>
                <w:rFonts w:hint="default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实践内容与预期成果</w:t>
            </w:r>
          </w:p>
        </w:tc>
        <w:tc>
          <w:tcPr>
            <w:tcW w:w="114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4DD6E85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学时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分配</w:t>
            </w:r>
          </w:p>
        </w:tc>
        <w:tc>
          <w:tcPr>
            <w:tcW w:w="80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3EAAA662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105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6D0B25F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对应</w:t>
            </w:r>
          </w:p>
          <w:p w14:paraId="1D202D81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课程目标</w:t>
            </w:r>
          </w:p>
        </w:tc>
      </w:tr>
      <w:tr w14:paraId="4761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4" w:hRule="atLeast"/>
          <w:tblHeader/>
          <w:jc w:val="center"/>
        </w:trPr>
        <w:tc>
          <w:tcPr>
            <w:tcW w:w="577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14708464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56906C5D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83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37CC9258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7C49FD24">
            <w:pPr>
              <w:snapToGrid w:val="0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课内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4E19AA43">
            <w:pPr>
              <w:snapToGrid w:val="0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highlight w:val="none"/>
                <w:lang w:val="en-US" w:eastAsia="zh-CN"/>
              </w:rPr>
              <w:t>课外</w:t>
            </w:r>
          </w:p>
        </w:tc>
        <w:tc>
          <w:tcPr>
            <w:tcW w:w="80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7A396F41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2848BE40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14:paraId="7307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3CA6FFEC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3DD1BEE6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49D4B9BA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7D86292F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6483DE8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72EC9EEC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演示性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1EBF3EE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目标1</w:t>
            </w:r>
          </w:p>
        </w:tc>
      </w:tr>
      <w:tr w14:paraId="1B5D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43106521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2DA89FFD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0C6B5C2C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1FA2B2C2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25996E12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568044F4"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验证性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06C3C593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</w:tr>
      <w:tr w14:paraId="39E3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3E7FE36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3E63870E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0722CEAB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4AC3F1E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07A3B85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2B72768A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46858522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</w:p>
        </w:tc>
      </w:tr>
      <w:tr w14:paraId="780A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2F73FEB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255F274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351F0451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3C600CE0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304D638A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6DAFE93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63F3F475"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</w:p>
        </w:tc>
      </w:tr>
      <w:tr w14:paraId="78DA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4F758ED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5E9A14D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*</w:t>
            </w: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2593B728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64BAF6C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6F89B95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165986EA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3BAE2D9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……</w:t>
            </w:r>
          </w:p>
        </w:tc>
      </w:tr>
      <w:tr w14:paraId="3319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46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7D78773">
            <w:pPr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</w:rPr>
              <w:t xml:space="preserve">合 </w:t>
            </w: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</w:rPr>
              <w:t>计</w:t>
            </w: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22CC695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6C4BA174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55CA48A4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D559CD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</w:tr>
    </w:tbl>
    <w:p w14:paraId="3DE095D6">
      <w:pPr>
        <w:adjustRightInd w:val="0"/>
        <w:snapToGrid w:val="0"/>
        <w:rPr>
          <w:rFonts w:hint="eastAsia" w:ascii="黑体" w:eastAsia="黑体"/>
          <w:color w:val="0000FF"/>
          <w:sz w:val="18"/>
          <w:szCs w:val="18"/>
          <w:lang w:val="en-US" w:eastAsia="zh-CN"/>
        </w:rPr>
      </w:pPr>
    </w:p>
    <w:p w14:paraId="2C666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eastAsia="黑体" w:cs="Times New Roman"/>
          <w:color w:val="000000"/>
          <w:kern w:val="2"/>
          <w:sz w:val="24"/>
          <w:szCs w:val="24"/>
          <w:lang w:val="en-US" w:eastAsia="zh-CN" w:bidi="ar-SA"/>
        </w:rPr>
        <w:t>八</w:t>
      </w:r>
      <w:r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、课程考核评价</w:t>
      </w:r>
    </w:p>
    <w:p w14:paraId="20DC26FB">
      <w:pPr>
        <w:spacing w:line="360" w:lineRule="auto"/>
        <w:ind w:firstLine="422" w:firstLineChars="200"/>
        <w:jc w:val="lef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  <w:t>（一）</w:t>
      </w:r>
      <w:r>
        <w:rPr>
          <w:rFonts w:hint="eastAsia" w:ascii="宋体" w:hAnsi="宋体" w:eastAsia="宋体"/>
          <w:b/>
          <w:bCs w:val="0"/>
          <w:color w:val="auto"/>
          <w:sz w:val="21"/>
          <w:szCs w:val="21"/>
        </w:rPr>
        <w:t>考核类型：</w:t>
      </w:r>
      <w:r>
        <w:rPr>
          <w:rFonts w:hint="eastAsia" w:ascii="宋体" w:hAnsi="宋体" w:eastAsia="宋体"/>
          <w:color w:val="auto"/>
          <w:sz w:val="21"/>
          <w:szCs w:val="21"/>
        </w:rPr>
        <w:sym w:font="Wingdings" w:char="00A8"/>
      </w:r>
      <w:r>
        <w:rPr>
          <w:rFonts w:hint="eastAsia" w:ascii="宋体" w:hAnsi="宋体" w:eastAsia="宋体"/>
          <w:color w:val="auto"/>
          <w:sz w:val="21"/>
          <w:szCs w:val="21"/>
        </w:rPr>
        <w:t xml:space="preserve">考试    </w:t>
      </w:r>
      <w:r>
        <w:rPr>
          <w:rFonts w:hint="eastAsia" w:ascii="宋体" w:hAnsi="宋体" w:eastAsia="宋体"/>
          <w:color w:val="auto"/>
          <w:sz w:val="21"/>
          <w:szCs w:val="21"/>
        </w:rPr>
        <w:sym w:font="Wingdings" w:char="F0A8"/>
      </w:r>
      <w:r>
        <w:rPr>
          <w:rFonts w:hint="eastAsia" w:ascii="宋体" w:hAnsi="宋体" w:eastAsia="宋体"/>
          <w:color w:val="auto"/>
          <w:sz w:val="21"/>
          <w:szCs w:val="21"/>
        </w:rPr>
        <w:t>考查</w:t>
      </w:r>
    </w:p>
    <w:p w14:paraId="5673F8B2">
      <w:pPr>
        <w:spacing w:line="360" w:lineRule="auto"/>
        <w:ind w:firstLine="422" w:firstLineChars="200"/>
        <w:jc w:val="left"/>
        <w:rPr>
          <w:rFonts w:hint="default" w:ascii="Times New Roman" w:hAnsi="Times New Roman" w:eastAsia="黑体" w:cs="Times New Roman"/>
          <w:color w:val="auto"/>
          <w:sz w:val="24"/>
          <w:highlight w:val="yellow"/>
          <w:lang w:val="en-US" w:eastAsia="zh-CN"/>
        </w:rPr>
      </w:pPr>
      <w:r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  <w:t>（</w:t>
      </w:r>
      <w:r>
        <w:rPr>
          <w:rFonts w:hint="eastAsia" w:ascii="宋体" w:eastAsia="宋体" w:cs="宋体"/>
          <w:b/>
          <w:bCs w:val="0"/>
          <w:color w:val="auto"/>
          <w:kern w:val="0"/>
          <w:szCs w:val="21"/>
          <w:lang w:val="en-US" w:eastAsia="zh-CN"/>
        </w:rPr>
        <w:t>二</w:t>
      </w:r>
      <w:r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  <w:t>）</w:t>
      </w:r>
      <w:r>
        <w:rPr>
          <w:rFonts w:hint="eastAsia" w:ascii="宋体" w:hAnsi="宋体" w:eastAsia="宋体"/>
          <w:b/>
          <w:bCs w:val="0"/>
          <w:color w:val="auto"/>
          <w:sz w:val="21"/>
          <w:szCs w:val="21"/>
        </w:rPr>
        <w:t>成绩评定：</w:t>
      </w: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  <w:lang w:val="en-US" w:eastAsia="zh-CN"/>
        </w:rPr>
        <w:t>本课程采用过程性评价与终结性评价相结合的评价方法，课程总评成绩使用百分制评定，其中终结性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  <w:t>评价</w:t>
      </w: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  <w:lang w:val="en-US" w:eastAsia="zh-CN"/>
        </w:rPr>
        <w:t>方式为****（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期末</w:t>
      </w:r>
      <w:r>
        <w:rPr>
          <w:rFonts w:hint="eastAsia" w:ascii="宋体" w:hAnsi="宋体" w:eastAsia="宋体"/>
          <w:color w:val="auto"/>
          <w:sz w:val="21"/>
          <w:szCs w:val="21"/>
        </w:rPr>
        <w:t>考试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/>
          <w:color w:val="auto"/>
          <w:sz w:val="21"/>
          <w:szCs w:val="21"/>
        </w:rPr>
        <w:t>课程论文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/>
          <w:color w:val="auto"/>
          <w:sz w:val="21"/>
          <w:szCs w:val="21"/>
        </w:rPr>
        <w:t>课程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报告等</w:t>
      </w: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  <w:lang w:val="en-US" w:eastAsia="zh-CN"/>
        </w:rPr>
        <w:t>）。</w:t>
      </w:r>
    </w:p>
    <w:p w14:paraId="4F0F5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2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 xml:space="preserve">（三）课程目标与考核评价方式对应表 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1"/>
          <w:szCs w:val="21"/>
          <w:lang w:val="en-US" w:eastAsia="zh-CN" w:bidi="ar-SA"/>
        </w:rPr>
        <w:t>【考核方式根据实际情况填写，至少4项，</w:t>
      </w:r>
      <w:r>
        <w:rPr>
          <w:rFonts w:hint="eastAsia" w:ascii="Calibri" w:hAnsi="Calibri" w:eastAsia="宋体" w:cs="宋体"/>
          <w:color w:val="auto"/>
          <w:kern w:val="2"/>
          <w:sz w:val="21"/>
          <w:szCs w:val="24"/>
          <w:lang w:val="en-US" w:eastAsia="zh-CN" w:bidi="ar-SA"/>
        </w:rPr>
        <w:t>每个课程目标的考核方式不少于</w:t>
      </w:r>
      <w:r>
        <w:rPr>
          <w:rFonts w:ascii="Calibri" w:hAnsi="Calibri" w:eastAsia="宋体" w:cs="宋体"/>
          <w:color w:val="auto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宋体"/>
          <w:color w:val="auto"/>
          <w:kern w:val="2"/>
          <w:sz w:val="21"/>
          <w:szCs w:val="24"/>
          <w:lang w:val="en-US" w:eastAsia="zh-CN" w:bidi="ar-SA"/>
        </w:rPr>
        <w:t>项，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1"/>
          <w:szCs w:val="21"/>
          <w:lang w:val="en-US" w:eastAsia="zh-CN" w:bidi="ar-SA"/>
        </w:rPr>
        <w:t>要求过程性考核评价占比为30%-50%】</w:t>
      </w:r>
    </w:p>
    <w:tbl>
      <w:tblPr>
        <w:tblStyle w:val="4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302"/>
        <w:gridCol w:w="1282"/>
        <w:gridCol w:w="1155"/>
        <w:gridCol w:w="1053"/>
        <w:gridCol w:w="887"/>
        <w:gridCol w:w="964"/>
      </w:tblGrid>
      <w:tr w14:paraId="4288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0" w:type="dxa"/>
            <w:vMerge w:val="restart"/>
            <w:noWrap w:val="0"/>
            <w:vAlign w:val="center"/>
          </w:tcPr>
          <w:p w14:paraId="4DF23624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课程目标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0D0FDBFB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课程目标</w:t>
            </w:r>
          </w:p>
          <w:p w14:paraId="7B163FD0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权重</w:t>
            </w:r>
          </w:p>
        </w:tc>
        <w:tc>
          <w:tcPr>
            <w:tcW w:w="5341" w:type="dxa"/>
            <w:gridSpan w:val="5"/>
            <w:noWrap w:val="0"/>
            <w:vAlign w:val="center"/>
          </w:tcPr>
          <w:p w14:paraId="5EF4F7E6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考核评价方式及成绩比例（%）</w:t>
            </w:r>
          </w:p>
        </w:tc>
      </w:tr>
      <w:tr w14:paraId="0182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 w14:paraId="509EFB98">
            <w:pPr>
              <w:snapToGrid w:val="0"/>
              <w:spacing w:line="240" w:lineRule="auto"/>
              <w:jc w:val="center"/>
              <w:rPr>
                <w:rFonts w:eastAsia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2BB91E39">
            <w:pPr>
              <w:snapToGrid w:val="0"/>
              <w:spacing w:line="240" w:lineRule="auto"/>
              <w:jc w:val="center"/>
              <w:rPr>
                <w:rFonts w:eastAsia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2204B42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作业</w:t>
            </w:r>
          </w:p>
        </w:tc>
        <w:tc>
          <w:tcPr>
            <w:tcW w:w="1155" w:type="dxa"/>
            <w:noWrap w:val="0"/>
            <w:vAlign w:val="center"/>
          </w:tcPr>
          <w:p w14:paraId="32283C6D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实验</w:t>
            </w:r>
          </w:p>
        </w:tc>
        <w:tc>
          <w:tcPr>
            <w:tcW w:w="1053" w:type="dxa"/>
            <w:noWrap w:val="0"/>
            <w:vAlign w:val="center"/>
          </w:tcPr>
          <w:p w14:paraId="0AFC2C8B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项目</w:t>
            </w:r>
          </w:p>
          <w:p w14:paraId="54D2539E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研究</w:t>
            </w:r>
          </w:p>
        </w:tc>
        <w:tc>
          <w:tcPr>
            <w:tcW w:w="887" w:type="dxa"/>
            <w:noWrap w:val="0"/>
            <w:vAlign w:val="center"/>
          </w:tcPr>
          <w:p w14:paraId="299953EF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阶段</w:t>
            </w:r>
          </w:p>
          <w:p w14:paraId="38C2A3C6"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测试</w:t>
            </w:r>
          </w:p>
        </w:tc>
        <w:tc>
          <w:tcPr>
            <w:tcW w:w="964" w:type="dxa"/>
            <w:noWrap w:val="0"/>
            <w:vAlign w:val="center"/>
          </w:tcPr>
          <w:p w14:paraId="74DFE0F2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期末</w:t>
            </w:r>
          </w:p>
          <w:p w14:paraId="258F6A0F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考试</w:t>
            </w:r>
          </w:p>
        </w:tc>
      </w:tr>
      <w:tr w14:paraId="1462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noWrap w:val="0"/>
            <w:vAlign w:val="center"/>
          </w:tcPr>
          <w:p w14:paraId="4377E586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课程目标1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648C5C02">
            <w:pPr>
              <w:widowControl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0.2</w:t>
            </w:r>
          </w:p>
        </w:tc>
        <w:tc>
          <w:tcPr>
            <w:tcW w:w="1282" w:type="dxa"/>
            <w:noWrap w:val="0"/>
            <w:vAlign w:val="center"/>
          </w:tcPr>
          <w:p w14:paraId="4D3D0AD7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155" w:type="dxa"/>
            <w:noWrap w:val="0"/>
            <w:vAlign w:val="center"/>
          </w:tcPr>
          <w:p w14:paraId="1087EA66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4A8839F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C08DCCE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 w14:paraId="3E0CB800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9BD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noWrap w:val="0"/>
            <w:vAlign w:val="center"/>
          </w:tcPr>
          <w:p w14:paraId="192D4BCB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课程目标2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7FEBA52D">
            <w:pPr>
              <w:widowControl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0.25</w:t>
            </w:r>
          </w:p>
        </w:tc>
        <w:tc>
          <w:tcPr>
            <w:tcW w:w="1282" w:type="dxa"/>
            <w:noWrap w:val="0"/>
            <w:vAlign w:val="center"/>
          </w:tcPr>
          <w:p w14:paraId="36B41CA2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74347B4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BD0D8D8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87" w:type="dxa"/>
            <w:noWrap w:val="0"/>
            <w:vAlign w:val="center"/>
          </w:tcPr>
          <w:p w14:paraId="0286FE33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 w14:paraId="3052ABAF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</w:tr>
      <w:tr w14:paraId="7603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noWrap w:val="0"/>
            <w:vAlign w:val="center"/>
          </w:tcPr>
          <w:p w14:paraId="2CCCC04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课程目标3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543930BA">
            <w:pPr>
              <w:widowControl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0.3</w:t>
            </w:r>
          </w:p>
        </w:tc>
        <w:tc>
          <w:tcPr>
            <w:tcW w:w="1282" w:type="dxa"/>
            <w:noWrap w:val="0"/>
            <w:vAlign w:val="center"/>
          </w:tcPr>
          <w:p w14:paraId="6DC4F101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B4C887D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 w14:paraId="301B2222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87" w:type="dxa"/>
            <w:noWrap w:val="0"/>
            <w:vAlign w:val="center"/>
          </w:tcPr>
          <w:p w14:paraId="23B099F8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7E70CD7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</w:tr>
      <w:tr w14:paraId="38B1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noWrap w:val="0"/>
            <w:vAlign w:val="center"/>
          </w:tcPr>
          <w:p w14:paraId="4C20C6AC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课程目标4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58344FC4">
            <w:pPr>
              <w:widowControl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0.25</w:t>
            </w:r>
          </w:p>
        </w:tc>
        <w:tc>
          <w:tcPr>
            <w:tcW w:w="1282" w:type="dxa"/>
            <w:noWrap w:val="0"/>
            <w:vAlign w:val="center"/>
          </w:tcPr>
          <w:p w14:paraId="2235DE12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94C0E46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 w14:paraId="7E176978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7" w:type="dxa"/>
            <w:noWrap w:val="0"/>
            <w:vAlign w:val="center"/>
          </w:tcPr>
          <w:p w14:paraId="68C0BC3E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B1FF22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</w:tr>
      <w:tr w14:paraId="4E8B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10" w:type="dxa"/>
            <w:noWrap w:val="0"/>
            <w:vAlign w:val="center"/>
          </w:tcPr>
          <w:p w14:paraId="2F03A3A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5BD70349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82" w:type="dxa"/>
            <w:noWrap w:val="0"/>
            <w:vAlign w:val="center"/>
          </w:tcPr>
          <w:p w14:paraId="30D1768D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155" w:type="dxa"/>
            <w:noWrap w:val="0"/>
            <w:vAlign w:val="center"/>
          </w:tcPr>
          <w:p w14:paraId="23841E7C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053" w:type="dxa"/>
            <w:noWrap w:val="0"/>
            <w:vAlign w:val="center"/>
          </w:tcPr>
          <w:p w14:paraId="1DA5BB62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87" w:type="dxa"/>
            <w:noWrap w:val="0"/>
            <w:vAlign w:val="center"/>
          </w:tcPr>
          <w:p w14:paraId="446E054C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964" w:type="dxa"/>
            <w:noWrap w:val="0"/>
            <w:vAlign w:val="center"/>
          </w:tcPr>
          <w:p w14:paraId="387FCC7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50</w:t>
            </w:r>
          </w:p>
        </w:tc>
      </w:tr>
    </w:tbl>
    <w:p w14:paraId="49F5F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2" w:firstLineChars="200"/>
        <w:jc w:val="both"/>
        <w:textAlignment w:val="auto"/>
        <w:rPr>
          <w:rFonts w:hint="default" w:ascii="Times New Roman" w:hAnsi="Times New Roman" w:eastAsia="黑体" w:cs="Times New Roman"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0"/>
          <w:sz w:val="21"/>
          <w:szCs w:val="21"/>
          <w:lang w:val="en-US" w:eastAsia="zh-CN" w:bidi="ar-SA"/>
        </w:rPr>
        <w:t>（四）课程考核评价标准</w:t>
      </w:r>
    </w:p>
    <w:tbl>
      <w:tblPr>
        <w:tblStyle w:val="4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39"/>
        <w:gridCol w:w="6921"/>
      </w:tblGrid>
      <w:tr w14:paraId="5CD6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3" w:type="dxa"/>
            <w:noWrap w:val="0"/>
            <w:vAlign w:val="center"/>
          </w:tcPr>
          <w:p w14:paraId="2816A9D1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考核</w:t>
            </w:r>
          </w:p>
          <w:p w14:paraId="3C8A08FD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方式</w:t>
            </w:r>
          </w:p>
        </w:tc>
        <w:tc>
          <w:tcPr>
            <w:tcW w:w="739" w:type="dxa"/>
            <w:noWrap w:val="0"/>
            <w:vAlign w:val="center"/>
          </w:tcPr>
          <w:p w14:paraId="0A91F783">
            <w:pPr>
              <w:jc w:val="center"/>
              <w:rPr>
                <w:rFonts w:hint="eastAsia" w:eastAsia="宋体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highlight w:val="none"/>
                <w:lang w:val="en-US" w:eastAsia="zh-CN"/>
              </w:rPr>
              <w:t>考核</w:t>
            </w:r>
          </w:p>
          <w:p w14:paraId="6A49460D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highlight w:val="none"/>
                <w:lang w:val="en-US" w:eastAsia="zh-CN"/>
              </w:rPr>
              <w:t>占比</w:t>
            </w:r>
          </w:p>
        </w:tc>
        <w:tc>
          <w:tcPr>
            <w:tcW w:w="6921" w:type="dxa"/>
            <w:noWrap w:val="0"/>
            <w:vAlign w:val="center"/>
          </w:tcPr>
          <w:p w14:paraId="7374D25C">
            <w:pPr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考核评价细则</w:t>
            </w:r>
          </w:p>
        </w:tc>
      </w:tr>
      <w:tr w14:paraId="2CF8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93" w:type="dxa"/>
            <w:noWrap w:val="0"/>
            <w:vAlign w:val="center"/>
          </w:tcPr>
          <w:p w14:paraId="1A541F18">
            <w:pPr>
              <w:widowControl/>
              <w:snapToGrid w:val="0"/>
              <w:spacing w:line="276" w:lineRule="auto"/>
              <w:jc w:val="center"/>
              <w:rPr>
                <w:rFonts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739" w:type="dxa"/>
            <w:noWrap w:val="0"/>
            <w:vAlign w:val="center"/>
          </w:tcPr>
          <w:p w14:paraId="7D5EB03B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%</w:t>
            </w:r>
          </w:p>
        </w:tc>
        <w:tc>
          <w:tcPr>
            <w:tcW w:w="6921" w:type="dxa"/>
            <w:noWrap w:val="0"/>
            <w:vAlign w:val="center"/>
          </w:tcPr>
          <w:p w14:paraId="403A24C6">
            <w:pPr>
              <w:widowControl/>
              <w:snapToGrid w:val="0"/>
              <w:spacing w:line="276" w:lineRule="auto"/>
              <w:jc w:val="left"/>
              <w:rPr>
                <w:rFonts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1.主要考核学生对每章节知识点的复习、理解和掌握程度；</w:t>
            </w:r>
          </w:p>
          <w:p w14:paraId="20A15490"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2.每次作业按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分制单独评分，取各次成绩的平均值作为此环节的最终成绩。</w:t>
            </w:r>
          </w:p>
        </w:tc>
      </w:tr>
      <w:tr w14:paraId="72F3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93" w:type="dxa"/>
            <w:noWrap w:val="0"/>
            <w:vAlign w:val="center"/>
          </w:tcPr>
          <w:p w14:paraId="7C5AF6AB">
            <w:pPr>
              <w:widowControl/>
              <w:snapToGrid w:val="0"/>
              <w:spacing w:line="276" w:lineRule="auto"/>
              <w:jc w:val="center"/>
              <w:rPr>
                <w:rFonts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实验</w:t>
            </w:r>
          </w:p>
        </w:tc>
        <w:tc>
          <w:tcPr>
            <w:tcW w:w="739" w:type="dxa"/>
            <w:noWrap w:val="0"/>
            <w:vAlign w:val="center"/>
          </w:tcPr>
          <w:p w14:paraId="78FEC705">
            <w:pPr>
              <w:widowControl/>
              <w:snapToGrid w:val="0"/>
              <w:spacing w:line="276" w:lineRule="auto"/>
              <w:jc w:val="center"/>
              <w:rPr>
                <w:rFonts w:ascii="宋体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ascii="宋体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%</w:t>
            </w:r>
          </w:p>
        </w:tc>
        <w:tc>
          <w:tcPr>
            <w:tcW w:w="6921" w:type="dxa"/>
            <w:noWrap w:val="0"/>
            <w:vAlign w:val="center"/>
          </w:tcPr>
          <w:p w14:paraId="1DE0CCCB">
            <w:pPr>
              <w:widowControl/>
              <w:snapToGrid w:val="0"/>
              <w:spacing w:line="276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1.根据每个实验的实验情况和实验报告质量单独评分，满分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分；</w:t>
            </w:r>
          </w:p>
          <w:p w14:paraId="6024CBEE">
            <w:pPr>
              <w:spacing w:line="240" w:lineRule="auto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取各次实验成绩的平均值作为此环节的最终成绩。</w:t>
            </w:r>
          </w:p>
        </w:tc>
      </w:tr>
      <w:tr w14:paraId="6ED4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93" w:type="dxa"/>
            <w:noWrap w:val="0"/>
            <w:vAlign w:val="center"/>
          </w:tcPr>
          <w:p w14:paraId="1D046BCF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项目</w:t>
            </w:r>
          </w:p>
          <w:p w14:paraId="73071DE4">
            <w:pPr>
              <w:widowControl/>
              <w:snapToGrid w:val="0"/>
              <w:spacing w:line="276" w:lineRule="auto"/>
              <w:jc w:val="center"/>
              <w:rPr>
                <w:rFonts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研究</w:t>
            </w:r>
          </w:p>
        </w:tc>
        <w:tc>
          <w:tcPr>
            <w:tcW w:w="739" w:type="dxa"/>
            <w:noWrap w:val="0"/>
            <w:vAlign w:val="center"/>
          </w:tcPr>
          <w:p w14:paraId="031DDBA3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0%</w:t>
            </w:r>
          </w:p>
        </w:tc>
        <w:tc>
          <w:tcPr>
            <w:tcW w:w="6921" w:type="dxa"/>
            <w:noWrap w:val="0"/>
            <w:vAlign w:val="center"/>
          </w:tcPr>
          <w:p w14:paraId="28B4F6FD">
            <w:pPr>
              <w:widowControl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1.考查应用所学知识及应用先进设计工具解决工程问题的实践能力、口头和文字表达能力以及团队合作能力；</w:t>
            </w:r>
          </w:p>
          <w:p w14:paraId="7003C93D">
            <w:pPr>
              <w:spacing w:line="240" w:lineRule="auto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教师根据选题、设计文稿、程序、报告和答辩情况评分。</w:t>
            </w:r>
          </w:p>
        </w:tc>
      </w:tr>
      <w:tr w14:paraId="7B44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93" w:type="dxa"/>
            <w:noWrap w:val="0"/>
            <w:vAlign w:val="center"/>
          </w:tcPr>
          <w:p w14:paraId="434AC67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阶段</w:t>
            </w:r>
          </w:p>
          <w:p w14:paraId="3A9314F9">
            <w:pPr>
              <w:widowControl/>
              <w:snapToGrid w:val="0"/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测试</w:t>
            </w:r>
          </w:p>
        </w:tc>
        <w:tc>
          <w:tcPr>
            <w:tcW w:w="739" w:type="dxa"/>
            <w:noWrap w:val="0"/>
            <w:vAlign w:val="center"/>
          </w:tcPr>
          <w:p w14:paraId="0592F554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20%</w:t>
            </w:r>
          </w:p>
        </w:tc>
        <w:tc>
          <w:tcPr>
            <w:tcW w:w="6921" w:type="dxa"/>
            <w:noWrap w:val="0"/>
            <w:vAlign w:val="center"/>
          </w:tcPr>
          <w:p w14:paraId="358D3E31">
            <w:pPr>
              <w:widowControl/>
              <w:snapToGrid w:val="0"/>
              <w:spacing w:line="276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1.结合教学进度安排阶段考试，考查学生对相关知识的掌握程度；</w:t>
            </w:r>
          </w:p>
          <w:p w14:paraId="5EE1F4BD">
            <w:pPr>
              <w:spacing w:line="240" w:lineRule="auto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阶段考试成绩以百分计，乘以其在总评成绩中所占的比例计入总评成绩。</w:t>
            </w:r>
          </w:p>
        </w:tc>
      </w:tr>
      <w:tr w14:paraId="0EAA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93" w:type="dxa"/>
            <w:shd w:val="clear" w:color="auto" w:fill="auto"/>
            <w:noWrap w:val="0"/>
            <w:vAlign w:val="center"/>
          </w:tcPr>
          <w:p w14:paraId="5FD43E86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期末</w:t>
            </w:r>
          </w:p>
          <w:p w14:paraId="721374AA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考试</w:t>
            </w: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 w14:paraId="602E692D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%</w:t>
            </w:r>
          </w:p>
        </w:tc>
        <w:tc>
          <w:tcPr>
            <w:tcW w:w="6921" w:type="dxa"/>
            <w:shd w:val="clear" w:color="auto" w:fill="auto"/>
            <w:noWrap w:val="0"/>
            <w:vAlign w:val="center"/>
          </w:tcPr>
          <w:p w14:paraId="3D24583B">
            <w:pPr>
              <w:widowControl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1.卷面成绩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分，以卷面成绩乘以其在总评成绩中所占的比例计入课程总评成绩；</w:t>
            </w:r>
          </w:p>
          <w:p w14:paraId="423AC037">
            <w:pPr>
              <w:widowControl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.主要考核平面连杆机构设计、凸轮机构设计、齿轮机构设计、齿轮系传动比计算、机构自由度计算，机构运动方案设计、机构平衡与飞轮转动惯量计算等内容。考试题型为：分析题、作图题、机构设计题、计算题和简答题等。</w:t>
            </w:r>
          </w:p>
        </w:tc>
      </w:tr>
      <w:tr w14:paraId="0D08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453" w:type="dxa"/>
            <w:gridSpan w:val="3"/>
            <w:noWrap w:val="0"/>
            <w:vAlign w:val="center"/>
          </w:tcPr>
          <w:p w14:paraId="241E3CA9">
            <w:pPr>
              <w:spacing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合计占比：100%</w:t>
            </w:r>
          </w:p>
        </w:tc>
      </w:tr>
    </w:tbl>
    <w:p w14:paraId="76CCA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</w:p>
    <w:p w14:paraId="222CB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480" w:firstLineChars="200"/>
        <w:textAlignment w:val="auto"/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eastAsia="黑体" w:cs="Times New Roman"/>
          <w:color w:val="auto"/>
          <w:kern w:val="2"/>
          <w:sz w:val="24"/>
          <w:szCs w:val="24"/>
          <w:lang w:val="en-US" w:eastAsia="zh-CN" w:bidi="ar-SA"/>
        </w:rPr>
        <w:t>九、</w:t>
      </w: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持续改进</w:t>
      </w:r>
    </w:p>
    <w:p w14:paraId="15D304E0">
      <w:pPr>
        <w:adjustRightInd w:val="0"/>
        <w:ind w:firstLine="411" w:firstLineChars="196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本课程根据学生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作业、实验、</w:t>
      </w:r>
      <w:r>
        <w:rPr>
          <w:rFonts w:hint="eastAsia" w:ascii="宋体" w:hAnsi="Times New Roman" w:eastAsia="宋体" w:cs="宋体"/>
          <w:b/>
          <w:bCs/>
          <w:color w:val="auto"/>
          <w:kern w:val="0"/>
          <w:szCs w:val="21"/>
          <w:lang w:val="en-US" w:eastAsia="zh-CN"/>
        </w:rPr>
        <w:t>项目研究、阶段考试和期末考试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情况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【加粗内容需与该课程的考核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方式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一致】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，学生、教学督导等方面的反馈，及时对教学中不足之处进行改进，并在下一轮课程教学中改进提高，确保相应毕业要求指标点达成。</w:t>
      </w:r>
    </w:p>
    <w:p w14:paraId="578C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480" w:firstLineChars="200"/>
        <w:textAlignment w:val="auto"/>
        <w:rPr>
          <w:rFonts w:hint="eastAsia" w:hAnsi="宋体" w:eastAsia="宋体"/>
          <w:color w:val="auto"/>
          <w:highlight w:val="yellow"/>
        </w:rPr>
      </w:pP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十、教材与教学参考资源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【包括教材、参考书目（原则上应为近5年内出版或再版）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相关阅读材料、网络在线资源等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，根据实际情况选填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】</w:t>
      </w:r>
    </w:p>
    <w:p w14:paraId="01C6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宋体"/>
          <w:i/>
          <w:iCs/>
          <w:color w:val="auto"/>
          <w:lang w:val="en-US" w:eastAsia="zh-CN"/>
        </w:rPr>
      </w:pPr>
      <w:r>
        <w:rPr>
          <w:rFonts w:hint="eastAsia" w:eastAsia="宋体" w:cs="宋体"/>
          <w:i/>
          <w:iCs/>
          <w:color w:val="auto"/>
          <w:lang w:val="en-US" w:eastAsia="zh-CN"/>
        </w:rPr>
        <w:t>示例：</w:t>
      </w:r>
    </w:p>
    <w:p w14:paraId="2FD7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1.教材</w:t>
      </w:r>
    </w:p>
    <w:p w14:paraId="15FA5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[1]毛平淮. 互换性与测量技术基础(第3版) [M]. 北京：机械工业出版社，20</w:t>
      </w:r>
      <w:r>
        <w:rPr>
          <w:rFonts w:hint="eastAsia" w:eastAsia="宋体" w:cs="宋体"/>
          <w:color w:val="auto"/>
          <w:lang w:val="en-US" w:eastAsia="zh-CN"/>
        </w:rPr>
        <w:t>20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.</w:t>
      </w:r>
    </w:p>
    <w:p w14:paraId="4E4C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……</w:t>
      </w:r>
    </w:p>
    <w:p w14:paraId="435C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2.主要参考书目</w:t>
      </w:r>
    </w:p>
    <w:p w14:paraId="43C1C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[1]廖念钊. 互换性与技术测量[M]. 北京：中国计量出版社，20</w:t>
      </w:r>
      <w:r>
        <w:rPr>
          <w:rFonts w:hint="eastAsia" w:eastAsia="宋体" w:cs="宋体"/>
          <w:color w:val="auto"/>
          <w:lang w:val="en-US" w:eastAsia="zh-CN"/>
        </w:rPr>
        <w:t>22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.</w:t>
      </w:r>
    </w:p>
    <w:p w14:paraId="20095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……</w:t>
      </w:r>
    </w:p>
    <w:p w14:paraId="17C3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3.数字教学资源</w:t>
      </w:r>
    </w:p>
    <w:p w14:paraId="5612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</w:pPr>
      <w:r>
        <w:rPr>
          <w:rFonts w:hint="eastAsia" w:eastAsia="宋体" w:cs="宋体"/>
          <w:color w:val="auto"/>
          <w:lang w:val="en-US" w:eastAsia="zh-CN"/>
        </w:rPr>
        <w:t>（1）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自建线上课程资源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【线上课程和混合式课程必须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包含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覆盖所有教学内容的线上教学资源】</w:t>
      </w:r>
    </w:p>
    <w:p w14:paraId="7AB6C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中国大学慕课，《***》课程， https://www.icourse163.org/course/HHU-1001755159；</w:t>
      </w:r>
    </w:p>
    <w:p w14:paraId="3D62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eastAsia="宋体" w:cs="宋体"/>
          <w:color w:val="auto"/>
          <w:lang w:val="en-US" w:eastAsia="zh-CN"/>
        </w:rPr>
        <w:t>（2）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引用线上教学资源</w:t>
      </w:r>
    </w:p>
    <w:p w14:paraId="6DEA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eastAsia="宋体" w:cs="宋体"/>
          <w:color w:val="auto"/>
          <w:lang w:val="en-US" w:eastAsia="zh-CN"/>
        </w:rPr>
        <w:t>学银在线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，《***》课程， https://www.icourse163.org/course/HHU-1001755159</w:t>
      </w:r>
      <w:r>
        <w:rPr>
          <w:rFonts w:hint="eastAsia" w:eastAsia="宋体" w:cs="宋体"/>
          <w:color w:val="auto"/>
          <w:lang w:val="en-US" w:eastAsia="zh-CN"/>
        </w:rPr>
        <w:t>；</w:t>
      </w:r>
    </w:p>
    <w:p w14:paraId="47D74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4.其他参考资料</w:t>
      </w:r>
    </w:p>
    <w:p w14:paraId="4F8B5ED9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 w:cs="Times New Roman"/>
        </w:rPr>
      </w:pPr>
    </w:p>
    <w:p w14:paraId="7510EE61">
      <w:pPr>
        <w:spacing w:line="360" w:lineRule="auto"/>
        <w:rPr>
          <w:rFonts w:ascii="宋体" w:hAnsi="宋体" w:cs="宋体"/>
          <w:kern w:val="0"/>
          <w:sz w:val="24"/>
        </w:rPr>
        <w:sectPr>
          <w:pgSz w:w="11906" w:h="16838"/>
          <w:pgMar w:top="1814" w:right="1418" w:bottom="1984" w:left="1418" w:header="851" w:footer="992" w:gutter="0"/>
          <w:pgNumType w:fmt="decimal"/>
          <w:cols w:space="720" w:num="1"/>
          <w:docGrid w:type="lines" w:linePitch="312" w:charSpace="0"/>
        </w:sectPr>
      </w:pPr>
    </w:p>
    <w:p w14:paraId="4842C6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B1A63"/>
    <w:rsid w:val="47AB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2025-12-31T08:34:00Z</dcterms:created>
  <dc:creator>树袋熊</dc:creator>
  <cp:lastModifiedBy>树袋熊</cp:lastModifiedBy>
  <dcterms:modified xsi:type="dcterms:W3CDTF">2025-12-31T08:34:35Z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227F3B738FFE41B8A8CA29AD12DE60C3_11</vt:lpwstr>
  </property>
  <property fmtid="{D5CDD505-2E9C-101B-9397-08002B2CF9AE}" pid="4" name="KSOTemplateDocerSaveRecord">
    <vt:lpwstr>eyJoZGlkIjoiMGJjNDc3NzRlYzI4MzQ5MjFlOTEwMTE4ZGIyYzQ0MTYiLCJ1c2VySWQiOiI1NjgxMzE1MzAifQ==</vt:lpwstr>
  </property>
</Properties>
</file>