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AAC1">
      <w:pPr>
        <w:jc w:val="left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 w14:paraId="51E414CF">
      <w:pPr>
        <w:spacing w:line="360" w:lineRule="auto"/>
        <w:jc w:val="center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eastAsia="zh-CN" w:bidi="ar-SA"/>
        </w:rPr>
        <w:t>保定理工学院</w:t>
      </w: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  <w:t>学生通过等级考试</w:t>
      </w:r>
    </w:p>
    <w:p w14:paraId="57CB351F">
      <w:pPr>
        <w:spacing w:line="360" w:lineRule="auto"/>
        <w:jc w:val="center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  <w:t>对应课程成绩认定申请表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98"/>
        <w:gridCol w:w="960"/>
        <w:gridCol w:w="1000"/>
        <w:gridCol w:w="1294"/>
        <w:gridCol w:w="1165"/>
        <w:gridCol w:w="127"/>
        <w:gridCol w:w="2243"/>
      </w:tblGrid>
      <w:tr w14:paraId="16FFD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5" w:type="dxa"/>
            <w:noWrap w:val="0"/>
            <w:vAlign w:val="top"/>
          </w:tcPr>
          <w:p w14:paraId="5BF112D1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0B22764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 w14:paraId="033F4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noWrap w:val="0"/>
            <w:vAlign w:val="top"/>
          </w:tcPr>
          <w:p w14:paraId="0810DEE8">
            <w:pPr>
              <w:ind w:firstLine="140" w:firstLineChars="5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97B8DE">
            <w:pPr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7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0794DB">
            <w:pPr>
              <w:rPr>
                <w:rFonts w:hint="eastAsia"/>
                <w:sz w:val="28"/>
                <w:szCs w:val="28"/>
              </w:rPr>
            </w:pPr>
          </w:p>
        </w:tc>
      </w:tr>
      <w:tr w14:paraId="76178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5" w:type="dxa"/>
            <w:noWrap w:val="0"/>
            <w:vAlign w:val="top"/>
          </w:tcPr>
          <w:p w14:paraId="7DDE6C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558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92998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1294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1E98710">
            <w:pPr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3535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657F505">
            <w:pPr>
              <w:rPr>
                <w:rFonts w:hint="eastAsia"/>
                <w:sz w:val="28"/>
                <w:szCs w:val="28"/>
              </w:rPr>
            </w:pPr>
          </w:p>
        </w:tc>
      </w:tr>
      <w:tr w14:paraId="5274C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090E92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等级考试类别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D5289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DCE1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1F9D406">
            <w:pPr>
              <w:rPr>
                <w:rFonts w:hint="eastAsia"/>
                <w:sz w:val="28"/>
                <w:szCs w:val="28"/>
              </w:rPr>
            </w:pPr>
          </w:p>
        </w:tc>
      </w:tr>
      <w:tr w14:paraId="0CA1F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CD7930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申请评定课程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A1444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04B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CB8C84">
            <w:pPr>
              <w:rPr>
                <w:rFonts w:hint="eastAsia"/>
                <w:sz w:val="28"/>
                <w:szCs w:val="28"/>
              </w:rPr>
            </w:pPr>
          </w:p>
        </w:tc>
      </w:tr>
      <w:tr w14:paraId="0F6A6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52" w:type="dxa"/>
            <w:gridSpan w:val="8"/>
            <w:tcBorders>
              <w:top w:val="nil"/>
            </w:tcBorders>
            <w:noWrap w:val="0"/>
            <w:vAlign w:val="top"/>
          </w:tcPr>
          <w:p w14:paraId="6343F37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 xml:space="preserve">初审结果：                   </w:t>
            </w:r>
          </w:p>
          <w:p w14:paraId="30D5CCAB">
            <w:pPr>
              <w:rPr>
                <w:rFonts w:hint="eastAsia"/>
                <w:sz w:val="28"/>
                <w:szCs w:val="28"/>
              </w:rPr>
            </w:pPr>
          </w:p>
          <w:p w14:paraId="20E365A8">
            <w:pPr>
              <w:ind w:firstLine="4480" w:firstLineChars="16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签字（</w:t>
            </w:r>
            <w:r>
              <w:rPr>
                <w:rFonts w:hint="eastAsia"/>
                <w:sz w:val="28"/>
                <w:szCs w:val="28"/>
                <w:lang w:eastAsia="zh-CN"/>
              </w:rPr>
              <w:t>盖</w:t>
            </w:r>
            <w:r>
              <w:rPr>
                <w:rFonts w:hint="eastAsia"/>
                <w:sz w:val="28"/>
                <w:szCs w:val="28"/>
              </w:rPr>
              <w:t>章）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6E9AD50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3460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852" w:type="dxa"/>
            <w:gridSpan w:val="8"/>
            <w:tcBorders>
              <w:top w:val="nil"/>
            </w:tcBorders>
            <w:noWrap w:val="0"/>
            <w:vAlign w:val="top"/>
          </w:tcPr>
          <w:p w14:paraId="2462B3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教务处</w:t>
            </w:r>
            <w:r>
              <w:rPr>
                <w:rFonts w:hint="eastAsia"/>
                <w:sz w:val="28"/>
                <w:szCs w:val="28"/>
              </w:rPr>
              <w:t>复审结果：</w:t>
            </w:r>
          </w:p>
          <w:p w14:paraId="11E22E95">
            <w:pPr>
              <w:rPr>
                <w:rFonts w:hint="eastAsia"/>
                <w:sz w:val="28"/>
                <w:szCs w:val="28"/>
              </w:rPr>
            </w:pPr>
          </w:p>
          <w:p w14:paraId="7EB1097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/>
                <w:sz w:val="28"/>
                <w:szCs w:val="28"/>
                <w:lang w:eastAsia="zh-CN"/>
              </w:rPr>
              <w:t>盖</w:t>
            </w:r>
            <w:r>
              <w:rPr>
                <w:rFonts w:hint="eastAsia"/>
                <w:sz w:val="28"/>
                <w:szCs w:val="28"/>
              </w:rPr>
              <w:t>章）：</w:t>
            </w:r>
          </w:p>
          <w:p w14:paraId="5BFE4FB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  月    日</w:t>
            </w:r>
          </w:p>
        </w:tc>
      </w:tr>
      <w:tr w14:paraId="5440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52" w:type="dxa"/>
            <w:gridSpan w:val="8"/>
            <w:noWrap w:val="0"/>
            <w:vAlign w:val="top"/>
          </w:tcPr>
          <w:p w14:paraId="4C0E5EE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教务处处长意见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7D7CB6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77FFD745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/>
                <w:sz w:val="28"/>
                <w:szCs w:val="28"/>
                <w:lang w:eastAsia="zh-CN"/>
              </w:rPr>
              <w:t>盖</w:t>
            </w:r>
            <w:r>
              <w:rPr>
                <w:rFonts w:hint="eastAsia"/>
                <w:sz w:val="28"/>
                <w:szCs w:val="28"/>
              </w:rPr>
              <w:t>章）：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0143DB6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0A61FEDB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50B38EFA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6FE4F5F4">
      <w:pPr>
        <w:jc w:val="left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  <w:t>.</w:t>
      </w:r>
    </w:p>
    <w:p w14:paraId="1CCD4C0B">
      <w:pPr>
        <w:jc w:val="left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val="en-US" w:eastAsia="zh-CN" w:bidi="ar-SA"/>
        </w:rPr>
        <w:t>附件2：</w:t>
      </w:r>
    </w:p>
    <w:p w14:paraId="4F8971CD">
      <w:pPr>
        <w:spacing w:line="360" w:lineRule="auto"/>
        <w:jc w:val="center"/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eastAsia="zh-CN" w:bidi="ar-SA"/>
        </w:rPr>
        <w:t>保定理工学院</w:t>
      </w:r>
      <w:r>
        <w:rPr>
          <w:rFonts w:hint="eastAsia" w:ascii="方正小标宋简体" w:hAnsi="宋体" w:eastAsia="方正小标宋简体" w:cs="Times New Roman"/>
          <w:bCs/>
          <w:color w:val="auto"/>
          <w:sz w:val="32"/>
          <w:szCs w:val="32"/>
          <w:lang w:bidi="ar-SA"/>
        </w:rPr>
        <w:t>等级考试与校内考试对应课程表</w:t>
      </w:r>
    </w:p>
    <w:tbl>
      <w:tblPr>
        <w:tblStyle w:val="3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045"/>
        <w:gridCol w:w="1327"/>
        <w:gridCol w:w="1936"/>
        <w:gridCol w:w="2505"/>
      </w:tblGrid>
      <w:tr w14:paraId="00B5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6527BE83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适用专业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2B88CC90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等级考试</w:t>
            </w:r>
          </w:p>
        </w:tc>
        <w:tc>
          <w:tcPr>
            <w:tcW w:w="4441" w:type="dxa"/>
            <w:gridSpan w:val="2"/>
            <w:noWrap w:val="0"/>
            <w:vAlign w:val="center"/>
          </w:tcPr>
          <w:p w14:paraId="4CFEAB2D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校内对应课程</w:t>
            </w:r>
          </w:p>
        </w:tc>
      </w:tr>
      <w:tr w14:paraId="5221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08C4F177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E2039C1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类别</w:t>
            </w:r>
          </w:p>
        </w:tc>
        <w:tc>
          <w:tcPr>
            <w:tcW w:w="1327" w:type="dxa"/>
            <w:noWrap w:val="0"/>
            <w:vAlign w:val="center"/>
          </w:tcPr>
          <w:p w14:paraId="36D24631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成绩</w:t>
            </w:r>
          </w:p>
        </w:tc>
        <w:tc>
          <w:tcPr>
            <w:tcW w:w="1936" w:type="dxa"/>
            <w:noWrap w:val="0"/>
            <w:vAlign w:val="center"/>
          </w:tcPr>
          <w:p w14:paraId="63C2936B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科目</w:t>
            </w:r>
          </w:p>
        </w:tc>
        <w:tc>
          <w:tcPr>
            <w:tcW w:w="2505" w:type="dxa"/>
            <w:noWrap w:val="0"/>
            <w:vAlign w:val="center"/>
          </w:tcPr>
          <w:p w14:paraId="1350A90D">
            <w:pPr>
              <w:spacing w:line="5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成绩</w:t>
            </w:r>
          </w:p>
        </w:tc>
      </w:tr>
      <w:tr w14:paraId="3B41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69BE45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所有专业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621C62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计算机一级考试</w:t>
            </w:r>
          </w:p>
        </w:tc>
        <w:tc>
          <w:tcPr>
            <w:tcW w:w="1327" w:type="dxa"/>
            <w:noWrap w:val="0"/>
            <w:vAlign w:val="center"/>
          </w:tcPr>
          <w:p w14:paraId="2303107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540F77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大学计算机基础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05" w:type="dxa"/>
            <w:noWrap w:val="0"/>
            <w:vAlign w:val="center"/>
          </w:tcPr>
          <w:p w14:paraId="115E61E5">
            <w:pPr>
              <w:spacing w:line="520" w:lineRule="exact"/>
              <w:jc w:val="center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02E0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89BE6B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51FA0DD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2250F5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0649DB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A0FF638">
            <w:pPr>
              <w:spacing w:line="520" w:lineRule="exact"/>
              <w:jc w:val="center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0B8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8F411B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72551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C8BE60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6EF0AD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7A69FFCF">
            <w:pPr>
              <w:spacing w:line="520" w:lineRule="exact"/>
              <w:jc w:val="center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3102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2DF2414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计算机科学与技术、</w:t>
            </w:r>
          </w:p>
          <w:p w14:paraId="186A12B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机械设计制造及其自动化、地质学、土木工程、建筑学、机械电子工程、资源勘查工程、物联网工程、计算机科学与技术、电子信息工程、电气工程及其自动化、计算机应用技术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4208D13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全国计算机等级二级考试</w:t>
            </w:r>
          </w:p>
          <w:p w14:paraId="0E8975F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（C语言程序设计）</w:t>
            </w:r>
          </w:p>
        </w:tc>
        <w:tc>
          <w:tcPr>
            <w:tcW w:w="1327" w:type="dxa"/>
            <w:noWrap w:val="0"/>
            <w:vAlign w:val="center"/>
          </w:tcPr>
          <w:p w14:paraId="6702A0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07D37FD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C程序设计</w:t>
            </w:r>
          </w:p>
          <w:p w14:paraId="351723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程序设计基础</w:t>
            </w:r>
          </w:p>
        </w:tc>
        <w:tc>
          <w:tcPr>
            <w:tcW w:w="2505" w:type="dxa"/>
            <w:noWrap w:val="0"/>
            <w:vAlign w:val="center"/>
          </w:tcPr>
          <w:p w14:paraId="1EF15CE6">
            <w:pPr>
              <w:spacing w:line="520" w:lineRule="exact"/>
              <w:jc w:val="center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1F8F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BC92A82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CC1489A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E53634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7931FD23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493B6E47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0E78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DDDFF24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05ECCC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A4575B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7C31D6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51933509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7157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3539F69C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土地资源管理、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经济学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、会计学、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金融学、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国际经济与贸易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、计算机应用技术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007997A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全国计算机等级二级考试</w:t>
            </w:r>
          </w:p>
          <w:p w14:paraId="46840D0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（Access数据库程序设计）</w:t>
            </w:r>
          </w:p>
        </w:tc>
        <w:tc>
          <w:tcPr>
            <w:tcW w:w="1327" w:type="dxa"/>
            <w:noWrap w:val="0"/>
            <w:vAlign w:val="center"/>
          </w:tcPr>
          <w:p w14:paraId="702AC2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638AB57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数据库技术与应用</w:t>
            </w:r>
          </w:p>
        </w:tc>
        <w:tc>
          <w:tcPr>
            <w:tcW w:w="2505" w:type="dxa"/>
            <w:noWrap w:val="0"/>
            <w:vAlign w:val="center"/>
          </w:tcPr>
          <w:p w14:paraId="367A6764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3E57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C96D0CF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B22839E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01117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83D44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5C68C539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7F8E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EAFD18F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529EB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520F1D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53FA1E0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055190E2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5BEC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78CB04CA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英语、商务英语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08E217A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全国计算机等级二级考试</w:t>
            </w:r>
          </w:p>
          <w:p w14:paraId="0A16677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（MS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Office高级应用与设计）</w:t>
            </w:r>
          </w:p>
        </w:tc>
        <w:tc>
          <w:tcPr>
            <w:tcW w:w="1327" w:type="dxa"/>
            <w:noWrap w:val="0"/>
            <w:vAlign w:val="center"/>
          </w:tcPr>
          <w:p w14:paraId="08B3F62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46AE54B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办公软件高级应用</w:t>
            </w:r>
          </w:p>
        </w:tc>
        <w:tc>
          <w:tcPr>
            <w:tcW w:w="2505" w:type="dxa"/>
            <w:noWrap w:val="0"/>
            <w:vAlign w:val="center"/>
          </w:tcPr>
          <w:p w14:paraId="2116B8CC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</w:tr>
      <w:tr w14:paraId="0858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33B38CB3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3D6B68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97B161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5238432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4FD607D5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</w:tr>
      <w:tr w14:paraId="12A7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EAEB9D2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3EFC6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9185EE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843C0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37899894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</w:tr>
      <w:tr w14:paraId="48C2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205F0FF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  <w:p w14:paraId="6A34A22D">
            <w:pPr>
              <w:widowControl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非外语专业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55AADF4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全国大学英语</w:t>
            </w:r>
          </w:p>
          <w:p w14:paraId="43DC856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四级考试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77341AB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425分(含)以上</w:t>
            </w:r>
          </w:p>
        </w:tc>
        <w:tc>
          <w:tcPr>
            <w:tcW w:w="1936" w:type="dxa"/>
            <w:noWrap w:val="0"/>
            <w:vAlign w:val="center"/>
          </w:tcPr>
          <w:p w14:paraId="65AE62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0BEA680C"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75（在425分的基础上，每多5分对应认定成绩增加一分，最高为100分）</w:t>
            </w:r>
          </w:p>
        </w:tc>
      </w:tr>
      <w:tr w14:paraId="12B7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80D597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62F84B1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1343D79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CA94EF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63ACB880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764F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3E499F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72A13F8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FD4357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B2B71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551ECCB7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CEB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95819B4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28D592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801FED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5F86F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708F1FAF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6856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5D173087">
            <w:pPr>
              <w:widowControl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非外语专业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18B711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全国大学英语</w:t>
            </w:r>
          </w:p>
          <w:p w14:paraId="36F4DC0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六级考试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252991A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425分(含)以上</w:t>
            </w:r>
          </w:p>
        </w:tc>
        <w:tc>
          <w:tcPr>
            <w:tcW w:w="1936" w:type="dxa"/>
            <w:noWrap w:val="0"/>
            <w:vAlign w:val="center"/>
          </w:tcPr>
          <w:p w14:paraId="539F407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7175EBC2">
            <w:pPr>
              <w:spacing w:line="520" w:lineRule="exact"/>
              <w:jc w:val="center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90（在425分的基础上，每多5分对应认定成绩增加一分，最高为100分）</w:t>
            </w:r>
          </w:p>
        </w:tc>
      </w:tr>
      <w:tr w14:paraId="4832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836169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5AF95DB7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4A406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E9F2B2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4E8D8260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31D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48A52BB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5E8AF9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690246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DB2F68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大学外语三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0ADBBFB0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A77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1557F1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632DC12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45BCE3E0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26C1C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大学外语四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76891CA1"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2DA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64D67C7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类专业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3635E9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英语专业四级考试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474D351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60分(含)以上</w:t>
            </w:r>
          </w:p>
        </w:tc>
        <w:tc>
          <w:tcPr>
            <w:tcW w:w="1936" w:type="dxa"/>
            <w:noWrap w:val="0"/>
            <w:vAlign w:val="center"/>
          </w:tcPr>
          <w:p w14:paraId="0A79F86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0E88EE9C">
            <w:pPr>
              <w:spacing w:line="520" w:lineRule="exact"/>
              <w:jc w:val="center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75（在60分的基础上，每多5分对应认定成绩增加一分，最高为100分）</w:t>
            </w:r>
          </w:p>
        </w:tc>
      </w:tr>
      <w:tr w14:paraId="590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34F358A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27E5E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5C07ECF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541FA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0A82384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82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2676AD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6C66E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349B73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4A41A8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5C21966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EA5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36CE78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0B9206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25E8A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9849A3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1D907B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C8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7ECFD45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 w14:paraId="35E258D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英语专业八级考试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6FAD561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60分(含)以上</w:t>
            </w:r>
          </w:p>
        </w:tc>
        <w:tc>
          <w:tcPr>
            <w:tcW w:w="1936" w:type="dxa"/>
            <w:noWrap w:val="0"/>
            <w:vAlign w:val="center"/>
          </w:tcPr>
          <w:p w14:paraId="6922F6B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66600D53">
            <w:pPr>
              <w:spacing w:line="520" w:lineRule="exact"/>
              <w:jc w:val="center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90（在60分的基础上，每多5分对应认定成绩增加一分，最高为100分）</w:t>
            </w:r>
          </w:p>
        </w:tc>
      </w:tr>
      <w:tr w14:paraId="0DFA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302E6EF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265ECDA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F7A495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6BA38E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322178D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F8E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11007F8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649915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12255D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6C696B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2FFBD61F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9C4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E718A6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336934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DA0BF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62053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0A610A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7D370007">
      <w:pPr>
        <w:spacing w:line="360" w:lineRule="exact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注：1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/>
          <w:b/>
          <w:color w:val="auto"/>
          <w:szCs w:val="21"/>
        </w:rPr>
        <w:t>表中的计算机等级考试是指全国计算机一、二级考试。</w:t>
      </w:r>
    </w:p>
    <w:p w14:paraId="4B6BAB21">
      <w:pPr>
        <w:spacing w:line="360" w:lineRule="exact"/>
        <w:ind w:firstLine="422" w:firstLineChars="200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2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/>
          <w:b/>
          <w:color w:val="auto"/>
          <w:szCs w:val="21"/>
        </w:rPr>
        <w:t>表中英语等级考试是指全国大学生英语四、六级考试和英语专业四、八级考试。</w:t>
      </w:r>
    </w:p>
    <w:p w14:paraId="73F6D438">
      <w:pPr>
        <w:spacing w:line="360" w:lineRule="exact"/>
        <w:ind w:left="736" w:leftChars="200" w:hanging="316" w:hangingChars="150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3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/>
          <w:b/>
          <w:color w:val="auto"/>
          <w:szCs w:val="21"/>
        </w:rPr>
        <w:t>表中除了全国计算机一、二级考试外，其他必须为我</w:t>
      </w:r>
      <w:r>
        <w:rPr>
          <w:rFonts w:hint="eastAsia" w:ascii="宋体" w:hAnsi="宋体"/>
          <w:b/>
          <w:color w:val="auto"/>
          <w:szCs w:val="21"/>
          <w:lang w:eastAsia="zh-CN"/>
        </w:rPr>
        <w:t>校</w:t>
      </w:r>
      <w:r>
        <w:rPr>
          <w:rFonts w:hint="eastAsia" w:ascii="宋体" w:hAnsi="宋体"/>
          <w:b/>
          <w:color w:val="auto"/>
          <w:szCs w:val="21"/>
        </w:rPr>
        <w:t>考点组织进行的考试方可进行校内对应课程成绩认定。</w:t>
      </w:r>
    </w:p>
    <w:p w14:paraId="4F5D4972">
      <w:pPr>
        <w:spacing w:line="360" w:lineRule="exact"/>
        <w:ind w:left="736" w:leftChars="200" w:hanging="316" w:hangingChars="150"/>
        <w:rPr>
          <w:rFonts w:hint="default" w:ascii="宋体" w:hAnsi="宋体" w:eastAsia="宋体"/>
          <w:b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4.适用专业及对应校内课程可随课程培养方案变化对应调整。</w:t>
      </w:r>
    </w:p>
    <w:p w14:paraId="129C93B1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0C20A20B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7ECC5247"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7355"/>
    <w:rsid w:val="5903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2025-04-25T08:30:00Z</dcterms:created>
  <dc:creator>树袋熊</dc:creator>
  <cp:lastModifiedBy>树袋熊</cp:lastModifiedBy>
  <dcterms:modified xsi:type="dcterms:W3CDTF">2025-04-25T08:31:56Z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CCB4B3DC3ED64312B287F3996FD524F2_11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